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wordWrap w:val="1"/>
        <w:autoSpaceDE w:val="1"/>
        <w:autoSpaceDN w:val="1"/>
        <w:adjustRightInd w:val="1"/>
        <w:jc w:val="both"/>
        <w:textAlignment w:val="auto"/>
        <w:rPr>
          <w:rFonts w:hint="default" w:ascii="HG丸ｺﾞｼｯｸM-PRO" w:hAnsi="HG丸ｺﾞｼｯｸM-PRO" w:eastAsia="HG丸ｺﾞｼｯｸM-PRO"/>
          <w:b w:val="1"/>
          <w:color w:val="auto"/>
          <w:sz w:val="22"/>
        </w:rPr>
      </w:pPr>
      <w:bookmarkStart w:id="0" w:name="_GoBack"/>
      <w:bookmarkEnd w:id="0"/>
      <w:r>
        <w:rPr>
          <w:rFonts w:hint="eastAsia" w:ascii="HG丸ｺﾞｼｯｸM-PRO" w:hAnsi="HG丸ｺﾞｼｯｸM-PRO" w:eastAsia="HG丸ｺﾞｼｯｸM-PRO"/>
          <w:b w:val="1"/>
          <w:color w:val="auto"/>
          <w:sz w:val="22"/>
        </w:rPr>
        <w:t>（書式例）</w:t>
      </w:r>
    </w:p>
    <w:p>
      <w:pPr>
        <w:pStyle w:val="0"/>
        <w:adjustRightInd w:val="1"/>
        <w:rPr>
          <w:rFonts w:hint="default" w:ascii="HG丸ｺﾞｼｯｸM-PRO" w:hAnsi="HG丸ｺﾞｼｯｸM-PRO" w:eastAsia="HG丸ｺﾞｼｯｸM-PRO"/>
          <w:color w:val="auto"/>
          <w:sz w:val="22"/>
        </w:rPr>
      </w:pPr>
    </w:p>
    <w:p>
      <w:pPr>
        <w:pStyle w:val="0"/>
        <w:adjustRightInd w:val="1"/>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b w:val="1"/>
          <w:color w:val="auto"/>
          <w:sz w:val="22"/>
        </w:rPr>
        <w:t>　定款にその他の事業を掲げている場合</w:t>
      </w:r>
    </w:p>
    <w:p>
      <w:pPr>
        <w:pStyle w:val="0"/>
        <w:adjustRightInd w:val="1"/>
        <w:rPr>
          <w:rFonts w:hint="default" w:ascii="HG丸ｺﾞｼｯｸM-PRO" w:hAnsi="HG丸ｺﾞｼｯｸM-PRO" w:eastAsia="HG丸ｺﾞｼｯｸM-PRO"/>
          <w:color w:val="auto"/>
          <w:sz w:val="22"/>
        </w:rPr>
      </w:pPr>
    </w:p>
    <w:p>
      <w:pPr>
        <w:pStyle w:val="0"/>
        <w:adjustRightInd w:val="1"/>
        <w:jc w:val="center"/>
        <w:rPr>
          <w:rFonts w:hint="default" w:ascii="HG丸ｺﾞｼｯｸM-PRO" w:hAnsi="HG丸ｺﾞｼｯｸM-PRO" w:eastAsia="HG丸ｺﾞｼｯｸM-PRO"/>
          <w:color w:val="auto"/>
          <w:sz w:val="22"/>
        </w:rPr>
      </w:pPr>
      <w:r>
        <w:rPr>
          <w:rFonts w:hint="default"/>
        </w:rPr>
        <mc:AlternateContent>
          <mc:Choice Requires="wps">
            <w:drawing>
              <wp:anchor simplePos="0" relativeHeight="6" behindDoc="0" locked="0" layoutInCell="1" hidden="0" allowOverlap="1">
                <wp:simplePos x="0" y="0"/>
                <wp:positionH relativeFrom="column">
                  <wp:posOffset>4779645</wp:posOffset>
                </wp:positionH>
                <wp:positionV relativeFrom="paragraph">
                  <wp:posOffset>26670</wp:posOffset>
                </wp:positionV>
                <wp:extent cx="1387475" cy="488950"/>
                <wp:effectExtent l="28765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87475" cy="488950"/>
                        </a:xfrm>
                        <a:prstGeom prst="wedgeRoundRectCallout">
                          <a:avLst>
                            <a:gd name="adj1" fmla="val -70597"/>
                            <a:gd name="adj2" fmla="val 28833"/>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default"/>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2.1pt;mso-position-vertical-relative:text;mso-position-horizontal-relative:text;position:absolute;height:38.5pt;width:109.25pt;margin-left:376.35pt;z-index:6;" o:allowincell="t" filled="t" fillcolor="#ffffff" stroked="t" strokecolor="#000000" strokeweight="0.75pt" o:spt="62" type="#_x0000_t62" adj="-4449,17028">
                <v:fill/>
                <v:stroke dashstyle="shortdot" filltype="solid"/>
                <v:textbox style="layout-flow:horizontal;" inset="2.0637499999999998mm,0.24694444444444438mm,2.0637499999999998mm,0.24694444444444438mm">
                  <w:txbxContent>
                    <w:p>
                      <w:pPr>
                        <w:pStyle w:val="0"/>
                        <w:spacing w:line="320" w:lineRule="exact"/>
                        <w:jc w:val="center"/>
                        <w:rPr>
                          <w:rFonts w:hint="default"/>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r>
        <w:rPr>
          <w:rFonts w:hint="eastAsia" w:ascii="HG丸ｺﾞｼｯｸM-PRO" w:hAnsi="HG丸ｺﾞｼｯｸM-PRO"/>
          <w:color w:val="auto"/>
          <w:sz w:val="21"/>
        </w:rPr>
        <w:t>○○年度　活動計算書</w:t>
      </w:r>
    </w:p>
    <w:p>
      <w:pPr>
        <w:pStyle w:val="0"/>
        <w:adjustRightInd w:val="1"/>
        <w:rPr>
          <w:rFonts w:hint="default" w:ascii="HG丸ｺﾞｼｯｸM-PRO" w:hAnsi="HG丸ｺﾞｼｯｸM-PRO" w:eastAsia="HG丸ｺﾞｼｯｸM-PRO"/>
          <w:color w:val="auto"/>
          <w:sz w:val="22"/>
        </w:rPr>
      </w:pPr>
    </w:p>
    <w:p>
      <w:pPr>
        <w:pStyle w:val="0"/>
        <w:adjustRightInd w:val="1"/>
        <w:jc w:val="center"/>
        <w:rPr>
          <w:rFonts w:hint="default" w:ascii="HG丸ｺﾞｼｯｸM-PRO" w:hAnsi="HG丸ｺﾞｼｯｸM-PRO" w:eastAsia="HG丸ｺﾞｼｯｸM-PRO"/>
          <w:color w:val="auto"/>
          <w:sz w:val="22"/>
        </w:rPr>
      </w:pPr>
      <w:r>
        <w:rPr>
          <w:rFonts w:hint="eastAsia" w:ascii="HG丸ｺﾞｼｯｸM-PRO" w:hAnsi="HG丸ｺﾞｼｯｸM-PRO"/>
          <w:color w:val="auto"/>
          <w:sz w:val="21"/>
        </w:rPr>
        <w:t>　　年　　月　　日から　　年　　月　　日まで</w:t>
      </w:r>
    </w:p>
    <w:p>
      <w:pPr>
        <w:pStyle w:val="0"/>
        <w:adjustRightInd w:val="1"/>
        <w:ind w:right="210"/>
        <w:jc w:val="right"/>
        <w:rPr>
          <w:rFonts w:hint="default" w:ascii="HG丸ｺﾞｼｯｸM-PRO" w:hAnsi="HG丸ｺﾞｼｯｸM-PRO"/>
          <w:color w:val="auto"/>
          <w:sz w:val="21"/>
        </w:rPr>
      </w:pPr>
      <w:r>
        <w:rPr>
          <w:rFonts w:hint="eastAsia" w:ascii="HG丸ｺﾞｼｯｸM-PRO" w:hAnsi="HG丸ｺﾞｼｯｸM-PRO"/>
          <w:color w:val="auto"/>
          <w:sz w:val="21"/>
        </w:rPr>
        <w:t>特定非営利活動法人○○○○</w:t>
      </w:r>
    </w:p>
    <w:p>
      <w:pPr>
        <w:pStyle w:val="0"/>
        <w:adjustRightInd w:val="1"/>
        <w:jc w:val="right"/>
        <w:rPr>
          <w:rFonts w:hint="default" w:ascii="HG丸ｺﾞｼｯｸM-PRO" w:hAnsi="HG丸ｺﾞｼｯｸM-PRO"/>
          <w:color w:val="auto"/>
          <w:sz w:val="21"/>
        </w:rPr>
      </w:pPr>
      <w:r>
        <w:rPr>
          <w:rFonts w:hint="eastAsia" w:ascii="HG丸ｺﾞｼｯｸM-PRO" w:hAnsi="HG丸ｺﾞｼｯｸM-PRO"/>
          <w:color w:val="auto"/>
          <w:sz w:val="21"/>
        </w:rPr>
        <w:t>（単位：円）　</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3"/>
        <w:gridCol w:w="1447"/>
        <w:gridCol w:w="1447"/>
        <w:gridCol w:w="1447"/>
      </w:tblGrid>
      <w:tr>
        <w:trPr/>
        <w:tc>
          <w:tcPr>
            <w:tcW w:w="4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adjustRightInd w:val="1"/>
              <w:spacing w:line="240" w:lineRule="exact"/>
              <w:jc w:val="center"/>
              <w:rPr>
                <w:rFonts w:hint="default" w:ascii="HG丸ｺﾞｼｯｸM-PRO" w:hAnsi="HG丸ｺﾞｼｯｸM-PRO"/>
                <w:color w:val="auto"/>
              </w:rPr>
            </w:pPr>
            <w:r>
              <w:rPr>
                <w:rFonts w:hint="eastAsia" w:ascii="HG丸ｺﾞｼｯｸM-PRO" w:hAnsi="HG丸ｺﾞｼｯｸM-PRO"/>
                <w:color w:val="auto"/>
              </w:rPr>
              <w:t>科目</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adjustRightInd w:val="1"/>
              <w:spacing w:line="240" w:lineRule="exact"/>
              <w:jc w:val="center"/>
              <w:rPr>
                <w:rFonts w:hint="default" w:ascii="HG丸ｺﾞｼｯｸM-PRO" w:hAnsi="HG丸ｺﾞｼｯｸM-PRO"/>
                <w:color w:val="auto"/>
              </w:rPr>
            </w:pPr>
            <w:r>
              <w:rPr>
                <w:rFonts w:hint="eastAsia" w:ascii="HG丸ｺﾞｼｯｸM-PRO" w:hAnsi="HG丸ｺﾞｼｯｸM-PRO"/>
                <w:color w:val="auto"/>
              </w:rPr>
              <w:t>特定非営利活動に係る事業</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adjustRightInd w:val="1"/>
              <w:spacing w:line="240" w:lineRule="exact"/>
              <w:jc w:val="center"/>
              <w:rPr>
                <w:rFonts w:hint="default" w:ascii="HG丸ｺﾞｼｯｸM-PRO" w:hAnsi="HG丸ｺﾞｼｯｸM-PRO"/>
                <w:color w:val="auto"/>
              </w:rPr>
            </w:pPr>
            <w:r>
              <w:rPr>
                <w:rFonts w:hint="eastAsia" w:ascii="HG丸ｺﾞｼｯｸM-PRO" w:hAnsi="HG丸ｺﾞｼｯｸM-PRO"/>
                <w:color w:val="auto"/>
              </w:rPr>
              <w:t>その他の事業</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adjustRightInd w:val="1"/>
              <w:spacing w:line="240" w:lineRule="exact"/>
              <w:jc w:val="center"/>
              <w:rPr>
                <w:rFonts w:hint="default" w:ascii="HG丸ｺﾞｼｯｸM-PRO" w:hAnsi="HG丸ｺﾞｼｯｸM-PRO"/>
                <w:color w:val="auto"/>
              </w:rPr>
            </w:pPr>
            <w:r>
              <w:rPr>
                <w:rFonts w:hint="eastAsia" w:ascii="HG丸ｺﾞｼｯｸM-PRO" w:hAnsi="HG丸ｺﾞｼｯｸM-PRO"/>
                <w:color w:val="auto"/>
              </w:rPr>
              <w:t>合計</w:t>
            </w:r>
          </w:p>
        </w:tc>
      </w:tr>
      <w:tr>
        <w:trPr/>
        <w:tc>
          <w:tcPr>
            <w:tcW w:w="49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Ⅰ　経常収益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１　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正会員受取会費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default"/>
              </w:rPr>
              <mc:AlternateContent>
                <mc:Choice Requires="wps">
                  <w:drawing>
                    <wp:anchor simplePos="0" relativeHeight="7" behindDoc="0" locked="0" layoutInCell="1" hidden="0" allowOverlap="1">
                      <wp:simplePos x="0" y="0"/>
                      <wp:positionH relativeFrom="column">
                        <wp:posOffset>1922145</wp:posOffset>
                      </wp:positionH>
                      <wp:positionV relativeFrom="paragraph">
                        <wp:posOffset>22225</wp:posOffset>
                      </wp:positionV>
                      <wp:extent cx="1063625" cy="798830"/>
                      <wp:effectExtent l="287020"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63625" cy="798830"/>
                              </a:xfrm>
                              <a:prstGeom prst="wedgeRoundRectCallout">
                                <a:avLst>
                                  <a:gd name="adj1" fmla="val -76852"/>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default"/>
                                      <w:sz w:val="18"/>
                                    </w:rPr>
                                  </w:pPr>
                                  <w:r>
                                    <w:rPr>
                                      <w:rFonts w:hint="eastAsia"/>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1.75pt;mso-position-vertical-relative:text;mso-position-horizontal-relative:text;position:absolute;height:62.9pt;width:83.75pt;margin-left:151.35pt;z-index:7;" o:allowincell="t" filled="t" fillcolor="#ffffff" stroked="t" strokecolor="#000000" strokeweight="0.75pt" o:spt="62" type="#_x0000_t62" adj="-5800,18602">
                      <v:fill/>
                      <v:stroke dashstyle="shortdot" filltype="solid"/>
                      <v:textbox style="layout-flow:horizontal;" inset="2.0637499999999998mm,0.24694444444444438mm,2.0637499999999998mm,0.24694444444444438mm">
                        <w:txbxContent>
                          <w:p>
                            <w:pPr>
                              <w:pStyle w:val="0"/>
                              <w:spacing w:line="240" w:lineRule="exact"/>
                              <w:rPr>
                                <w:rFonts w:hint="default"/>
                                <w:sz w:val="18"/>
                              </w:rPr>
                            </w:pPr>
                            <w:r>
                              <w:rPr>
                                <w:rFonts w:hint="eastAsia"/>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color w:val="auto"/>
                <w:sz w:val="21"/>
              </w:rPr>
              <w:t>　　　　賛助会員受取会費</w:t>
            </w:r>
          </w:p>
        </w:tc>
        <w:tc>
          <w:tcPr>
            <w:tcW w:w="144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２　受取寄附金</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受取寄附金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施設等受入評価益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３　受取助成金等</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受取民間助成金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４　事業収益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○○事業収益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△△事業収益</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５　その他収益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受取利息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default"/>
              </w:rPr>
              <mc:AlternateContent>
                <mc:Choice Requires="wps">
                  <w:drawing>
                    <wp:anchor simplePos="0" relativeHeight="2" behindDoc="0" locked="0" layoutInCell="1" hidden="0" allowOverlap="1">
                      <wp:simplePos x="0" y="0"/>
                      <wp:positionH relativeFrom="column">
                        <wp:posOffset>1402080</wp:posOffset>
                      </wp:positionH>
                      <wp:positionV relativeFrom="paragraph">
                        <wp:posOffset>66675</wp:posOffset>
                      </wp:positionV>
                      <wp:extent cx="1470660" cy="760730"/>
                      <wp:effectExtent l="24701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70660" cy="76073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5.25pt;mso-position-vertical-relative:text;mso-position-horizontal-relative:text;position:absolute;height:59.9pt;width:115.8pt;margin-left:110.4pt;z-index:2;" o:allowincell="t"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color w:val="auto"/>
                <w:sz w:val="21"/>
              </w:rPr>
              <w:t>　　　　雑収益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経常収益計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Ⅱ　経常費用</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１　事業費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r>
              <w:rPr>
                <w:rFonts w:hint="default"/>
                <w:color w:val="auto"/>
                <w:sz w:val="21"/>
              </w:rPr>
              <w:t xml:space="preserve">  (1) </w:t>
            </w:r>
            <w:r>
              <w:rPr>
                <w:rFonts w:hint="eastAsia" w:ascii="HG丸ｺﾞｼｯｸM-PRO" w:hAnsi="HG丸ｺﾞｼｯｸM-PRO"/>
                <w:color w:val="auto"/>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default"/>
              </w:rPr>
              <mc:AlternateContent>
                <mc:Choice Requires="wps">
                  <w:drawing>
                    <wp:anchor simplePos="0" relativeHeight="3" behindDoc="0" locked="0" layoutInCell="1" hidden="0" allowOverlap="1">
                      <wp:simplePos x="0" y="0"/>
                      <wp:positionH relativeFrom="column">
                        <wp:posOffset>1892300</wp:posOffset>
                      </wp:positionH>
                      <wp:positionV relativeFrom="paragraph">
                        <wp:posOffset>139700</wp:posOffset>
                      </wp:positionV>
                      <wp:extent cx="1093470" cy="913130"/>
                      <wp:effectExtent l="21844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93470" cy="913130"/>
                              </a:xfrm>
                              <a:prstGeom prst="wedgeRoundRectCallout">
                                <a:avLst>
                                  <a:gd name="adj1" fmla="val -69949"/>
                                  <a:gd name="adj2" fmla="val 37273"/>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11pt;mso-position-vertical-relative:text;mso-position-horizontal-relative:text;position:absolute;height:71.900000000000006pt;width:86.1pt;margin-left:149pt;z-index:3;" o:allowincell="t" filled="t" fillcolor="#ffffff" stroked="t" strokecolor="#000000" strokeweight="0.75pt" o:spt="62" type="#_x0000_t62" adj="-4309,18851">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人件費計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color w:val="auto"/>
                <w:sz w:val="21"/>
              </w:rPr>
            </w:pPr>
            <w:r>
              <w:rPr>
                <w:rFonts w:hint="eastAsia" w:ascii="HG丸ｺﾞｼｯｸM-PRO" w:hAnsi="HG丸ｺﾞｼｯｸM-PRO"/>
                <w:color w:val="auto"/>
                <w:sz w:val="21"/>
              </w:rPr>
              <w:t>　</w:t>
            </w:r>
            <w:r>
              <w:rPr>
                <w:rFonts w:hint="eastAsia"/>
                <w:color w:val="auto"/>
                <w:sz w:val="21"/>
              </w:rPr>
              <w:t>　　　</w:t>
            </w:r>
            <w:r>
              <w:rPr>
                <w:rFonts w:hint="default"/>
                <w:color w:val="auto"/>
                <w:sz w:val="21"/>
              </w:rPr>
              <w:t xml:space="preserve">(2) </w:t>
            </w:r>
            <w:r>
              <w:rPr>
                <w:rFonts w:hint="eastAsia"/>
                <w:color w:val="auto"/>
                <w:sz w:val="21"/>
              </w:rPr>
              <w:t>その他経費</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施設等評価費用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その他経費計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default"/>
              </w:rPr>
              <mc:AlternateContent>
                <mc:Choice Requires="wps">
                  <w:drawing>
                    <wp:anchor simplePos="0" relativeHeight="4" behindDoc="0" locked="0" layoutInCell="1" hidden="0" allowOverlap="1">
                      <wp:simplePos x="0" y="0"/>
                      <wp:positionH relativeFrom="column">
                        <wp:posOffset>1524635</wp:posOffset>
                      </wp:positionH>
                      <wp:positionV relativeFrom="paragraph">
                        <wp:posOffset>63500</wp:posOffset>
                      </wp:positionV>
                      <wp:extent cx="1461135" cy="781050"/>
                      <wp:effectExtent l="411480"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61135" cy="781050"/>
                              </a:xfrm>
                              <a:prstGeom prst="wedgeRoundRectCallout">
                                <a:avLst>
                                  <a:gd name="adj1" fmla="val -78028"/>
                                  <a:gd name="adj2" fmla="val -5653"/>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5pt;mso-position-vertical-relative:text;mso-position-horizontal-relative:text;position:absolute;height:61.5pt;width:115.05pt;margin-left:120.05pt;z-index:4;" o:allowincell="t" filled="t" fillcolor="#ffffff" stroked="t" strokecolor="#000000" strokeweight="0.75pt" o:spt="62" type="#_x0000_t62" adj="-6054,9579">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color w:val="auto"/>
                <w:sz w:val="21"/>
              </w:rPr>
              <w:t>　　　　事業費計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２　管理費</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r>
              <w:rPr>
                <w:rFonts w:hint="default"/>
                <w:color w:val="auto"/>
                <w:sz w:val="21"/>
              </w:rPr>
              <w:t xml:space="preserve">  (1) </w:t>
            </w:r>
            <w:r>
              <w:rPr>
                <w:rFonts w:hint="eastAsia" w:ascii="HG丸ｺﾞｼｯｸM-PRO" w:hAnsi="HG丸ｺﾞｼｯｸM-PRO"/>
                <w:color w:val="auto"/>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役員報酬</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人件費計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r>
              <w:rPr>
                <w:rFonts w:hint="eastAsia"/>
                <w:color w:val="auto"/>
                <w:sz w:val="21"/>
              </w:rPr>
              <w:t>　　　</w:t>
            </w:r>
            <w:r>
              <w:rPr>
                <w:rFonts w:hint="default"/>
                <w:color w:val="auto"/>
                <w:sz w:val="21"/>
              </w:rPr>
              <w:t xml:space="preserve">(2) </w:t>
            </w:r>
            <w:r>
              <w:rPr>
                <w:rFonts w:hint="eastAsia"/>
                <w:color w:val="auto"/>
                <w:sz w:val="21"/>
              </w:rPr>
              <w:t>その他経費</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その他経費計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管理費計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経常費用計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当期経常増減額</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Ⅲ　経常外収益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１　固定資産売却益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経常外収益計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Ⅳ　経常外費用</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default"/>
              </w:rPr>
              <mc:AlternateContent>
                <mc:Choice Requires="wps">
                  <w:drawing>
                    <wp:anchor simplePos="0" relativeHeight="5" behindDoc="0" locked="0" layoutInCell="1" hidden="0" allowOverlap="1">
                      <wp:simplePos x="0" y="0"/>
                      <wp:positionH relativeFrom="column">
                        <wp:posOffset>1892300</wp:posOffset>
                      </wp:positionH>
                      <wp:positionV relativeFrom="paragraph">
                        <wp:posOffset>31750</wp:posOffset>
                      </wp:positionV>
                      <wp:extent cx="980440" cy="701040"/>
                      <wp:effectExtent l="274320"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980440" cy="701040"/>
                              </a:xfrm>
                              <a:prstGeom prst="wedgeRoundRectCallout">
                                <a:avLst>
                                  <a:gd name="adj1" fmla="val -77981"/>
                                  <a:gd name="adj2" fmla="val 26255"/>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その他の事業で得た利益の振替額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2.5pt;mso-position-vertical-relative:text;mso-position-horizontal-relative:text;position:absolute;height:55.2pt;width:77.2pt;margin-left:149pt;z-index:5;" o:allowincell="t" filled="t" fillcolor="#ffffff" stroked="t" strokecolor="#000000" strokeweight="0.75pt" o:spt="62" type="#_x0000_t62" adj="-6044,16471">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その他の事業で得た利益の振替額</w:t>
                            </w:r>
                          </w:p>
                        </w:txbxContent>
                      </v:textbox>
                      <v:imagedata o:title=""/>
                      <w10:wrap type="none" anchorx="text" anchory="text"/>
                    </v:shape>
                  </w:pict>
                </mc:Fallback>
              </mc:AlternateContent>
            </w:r>
            <w:r>
              <w:rPr>
                <w:rFonts w:hint="eastAsia" w:ascii="HG丸ｺﾞｼｯｸM-PRO" w:hAnsi="HG丸ｺﾞｼｯｸM-PRO"/>
                <w:color w:val="auto"/>
                <w:sz w:val="21"/>
              </w:rPr>
              <w:t>　　１　過年度損益修正損</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経常外費用計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経理区分振替額</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当期正味財産増減額</w:t>
            </w:r>
          </w:p>
        </w:tc>
        <w:tc>
          <w:tcPr>
            <w:tcW w:w="14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前期繰越正味財産額</w:t>
            </w: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r>
        <w:trPr/>
        <w:tc>
          <w:tcPr>
            <w:tcW w:w="49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rPr>
                <w:rFonts w:hint="default" w:ascii="HG丸ｺﾞｼｯｸM-PRO" w:hAnsi="HG丸ｺﾞｼｯｸM-PRO"/>
                <w:color w:val="auto"/>
                <w:sz w:val="21"/>
              </w:rPr>
            </w:pPr>
            <w:r>
              <w:rPr>
                <w:rFonts w:hint="eastAsia" w:ascii="HG丸ｺﾞｼｯｸM-PRO" w:hAnsi="HG丸ｺﾞｼｯｸM-PRO"/>
                <w:color w:val="auto"/>
                <w:sz w:val="21"/>
              </w:rPr>
              <w:t>　　　　次期繰越正味財産額</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p>
        </w:tc>
        <w:tc>
          <w:tcPr>
            <w:tcW w:w="14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adjustRightInd w:val="1"/>
              <w:spacing w:line="240" w:lineRule="exact"/>
              <w:jc w:val="right"/>
              <w:rPr>
                <w:rFonts w:hint="default" w:ascii="HG丸ｺﾞｼｯｸM-PRO" w:hAnsi="HG丸ｺﾞｼｯｸM-PRO"/>
                <w:color w:val="auto"/>
                <w:sz w:val="21"/>
              </w:rPr>
            </w:pPr>
            <w:r>
              <w:rPr>
                <w:rFonts w:hint="eastAsia" w:ascii="HG丸ｺﾞｼｯｸM-PRO" w:hAnsi="HG丸ｺﾞｼｯｸM-PRO"/>
                <w:color w:val="auto"/>
                <w:sz w:val="21"/>
              </w:rPr>
              <w:t>×××</w:t>
            </w:r>
          </w:p>
        </w:tc>
      </w:tr>
    </w:tbl>
    <w:p>
      <w:pPr>
        <w:pStyle w:val="0"/>
        <w:suppressAutoHyphens w:val="0"/>
        <w:wordWrap w:val="1"/>
        <w:autoSpaceDE w:val="1"/>
        <w:autoSpaceDN w:val="1"/>
        <w:adjustRightInd w:val="1"/>
        <w:jc w:val="both"/>
        <w:textAlignment w:val="auto"/>
        <w:rPr>
          <w:rFonts w:hint="eastAsia" w:ascii="HG丸ｺﾞｼｯｸM-PRO" w:hAnsi="HG丸ｺﾞｼｯｸM-PRO"/>
          <w:color w:val="auto"/>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9264"/>
      </w:tblGrid>
      <w:tr>
        <w:trPr>
          <w:trHeight w:val="4359"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default" w:ascii="HG丸ｺﾞｼｯｸM-PRO" w:hAnsi="HG丸ｺﾞｼｯｸM-PRO"/>
                      <w:color w:val="auto"/>
                      <w:sz w:val="22"/>
                    </w:rPr>
                    <w:t>(</w:t>
                  </w:r>
                  <w:r>
                    <w:rPr>
                      <w:rFonts w:hint="eastAsia" w:ascii="HG丸ｺﾞｼｯｸM-PRO" w:hAnsi="HG丸ｺﾞｼｯｸM-PRO"/>
                      <w:color w:val="auto"/>
                      <w:sz w:val="22"/>
                    </w:rPr>
                    <w:t>一般正味財産増減の部</w:t>
                  </w:r>
                  <w:r>
                    <w:rPr>
                      <w:rFonts w:hint="default" w:ascii="HG丸ｺﾞｼｯｸM-PRO" w:hAnsi="HG丸ｺﾞｼｯｸM-PRO"/>
                      <w:color w:val="auto"/>
                      <w:sz w:val="22"/>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default" w:ascii="HG丸ｺﾞｼｯｸM-PRO" w:hAnsi="HG丸ｺﾞｼｯｸM-PRO"/>
                      <w:color w:val="auto"/>
                      <w:sz w:val="22"/>
                    </w:rPr>
                    <mc:AlternateContent>
                      <mc:Choice Requires="wps">
                        <w:drawing>
                          <wp:anchor simplePos="0" relativeHeight="8" behindDoc="0" locked="0" layoutInCell="1" hidden="0" allowOverlap="1">
                            <wp:simplePos x="0" y="0"/>
                            <wp:positionH relativeFrom="column">
                              <wp:posOffset>-68580</wp:posOffset>
                            </wp:positionH>
                            <wp:positionV relativeFrom="paragraph">
                              <wp:posOffset>0</wp:posOffset>
                            </wp:positionV>
                            <wp:extent cx="2696210" cy="460375"/>
                            <wp:effectExtent l="261620" t="635" r="29845" b="1657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使途等の制約が解除されたことによる指定</w:t>
                                        </w:r>
                                      </w:p>
                                      <w:p>
                                        <w:pPr>
                                          <w:pStyle w:val="0"/>
                                          <w:rPr>
                                            <w:rFonts w:hint="default"/>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0pt;mso-position-vertical-relative:text;mso-position-horizontal-relative:text;position:absolute;height:36.25pt;width:212.3pt;margin-left:-5.4pt;z-index:8;" o:allowincell="t"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使途等の制約が解除されたことによる指定</w:t>
                                  </w:r>
                                </w:p>
                                <w:p>
                                  <w:pPr>
                                    <w:pStyle w:val="0"/>
                                    <w:rPr>
                                      <w:rFonts w:hint="default"/>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default" w:ascii="HG丸ｺﾞｼｯｸM-PRO" w:hAnsi="HG丸ｺﾞｼｯｸM-PRO"/>
                      <w:color w:val="auto"/>
                      <w:sz w:val="22"/>
                    </w:rPr>
                    <mc:AlternateContent>
                      <mc:Choice Requires="wps">
                        <w:drawing>
                          <wp:anchor simplePos="0" relativeHeight="9" behindDoc="0" locked="0" layoutInCell="1" hidden="0" allowOverlap="1">
                            <wp:simplePos x="0" y="0"/>
                            <wp:positionH relativeFrom="column">
                              <wp:posOffset>-68580</wp:posOffset>
                            </wp:positionH>
                            <wp:positionV relativeFrom="paragraph">
                              <wp:posOffset>158750</wp:posOffset>
                            </wp:positionV>
                            <wp:extent cx="1715770" cy="460375"/>
                            <wp:effectExtent l="38417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12.5pt;mso-position-vertical-relative:text;mso-position-horizontal-relative:text;position:absolute;height:36.25pt;width:135.1pt;margin-left:-5.4pt;z-index:9;" o:allowincell="t"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r>
                    <w:rPr>
                      <w:rFonts w:hint="eastAsia" w:ascii="HG丸ｺﾞｼｯｸM-PRO" w:hAnsi="HG丸ｺﾞｼｯｸM-PRO"/>
                      <w:color w:val="auto"/>
                      <w:sz w:val="22"/>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bl>
          <w:p>
            <w:pPr>
              <w:pStyle w:val="0"/>
              <w:suppressAutoHyphens w:val="0"/>
              <w:wordWrap w:val="1"/>
              <w:autoSpaceDE w:val="1"/>
              <w:autoSpaceDN w:val="1"/>
              <w:adjustRightInd w:val="1"/>
              <w:jc w:val="both"/>
              <w:textAlignment w:val="auto"/>
              <w:rPr>
                <w:rFonts w:hint="default" w:ascii="HG丸ｺﾞｼｯｸM-PRO" w:hAnsi="HG丸ｺﾞｼｯｸM-PRO"/>
                <w:color w:val="auto"/>
                <w:sz w:val="22"/>
              </w:rPr>
            </w:pPr>
          </w:p>
        </w:tc>
      </w:tr>
    </w:tbl>
    <w:p>
      <w:pPr>
        <w:pStyle w:val="0"/>
        <w:suppressAutoHyphens w:val="0"/>
        <w:wordWrap w:val="1"/>
        <w:autoSpaceDE w:val="1"/>
        <w:autoSpaceDN w:val="1"/>
        <w:adjustRightInd w:val="1"/>
        <w:jc w:val="both"/>
        <w:textAlignment w:val="auto"/>
        <w:rPr>
          <w:rFonts w:hint="default" w:ascii="HG丸ｺﾞｼｯｸM-PRO" w:hAnsi="HG丸ｺﾞｼｯｸM-PRO" w:eastAsia="HG丸ｺﾞｼｯｸM-PRO"/>
          <w:color w:val="auto"/>
          <w:sz w:val="21"/>
        </w:rPr>
      </w:pPr>
      <w:r>
        <w:rPr>
          <w:rFonts w:hint="eastAsia" w:ascii="HG丸ｺﾞｼｯｸM-PRO" w:hAnsi="HG丸ｺﾞｼｯｸM-PRO"/>
          <w:color w:val="auto"/>
          <w:sz w:val="21"/>
        </w:rPr>
        <w:t>　（備考）</w:t>
      </w:r>
    </w:p>
    <w:p>
      <w:pPr>
        <w:pStyle w:val="0"/>
        <w:adjustRightInd w:val="1"/>
        <w:rPr>
          <w:rFonts w:hint="default" w:ascii="HG丸ｺﾞｼｯｸM-PRO" w:hAnsi="HG丸ｺﾞｼｯｸM-PRO"/>
          <w:color w:val="auto"/>
          <w:sz w:val="21"/>
        </w:rPr>
      </w:pPr>
      <w:r>
        <w:rPr>
          <w:rFonts w:hint="eastAsia" w:ascii="HG丸ｺﾞｼｯｸM-PRO" w:hAnsi="HG丸ｺﾞｼｯｸM-PRO"/>
          <w:color w:val="auto"/>
          <w:sz w:val="21"/>
        </w:rPr>
        <w:t>　　１　用紙の大きさは、日本産業規格Ａ列４番とする。</w:t>
      </w:r>
    </w:p>
    <w:p>
      <w:pPr>
        <w:pStyle w:val="0"/>
        <w:adjustRightInd w:val="1"/>
        <w:ind w:left="630" w:hanging="630" w:hangingChars="300"/>
        <w:rPr>
          <w:rFonts w:hint="default" w:ascii="HG丸ｺﾞｼｯｸM-PRO" w:hAnsi="HG丸ｺﾞｼｯｸM-PRO"/>
          <w:color w:val="auto"/>
          <w:sz w:val="21"/>
        </w:rPr>
      </w:pPr>
      <w:r>
        <w:rPr>
          <w:rFonts w:hint="eastAsia" w:ascii="HG丸ｺﾞｼｯｸM-PRO" w:hAnsi="HG丸ｺﾞｼｯｸM-PRO"/>
          <w:color w:val="auto"/>
          <w:sz w:val="21"/>
        </w:rPr>
        <w:t>　　２　「事業費」とは、法人の事業の実施のために直接要する費用で、管理費以外のものをいい、当該事業の実施のために直接要する人件費、交通費等の費用が含まれる。）等が挙げられる。なお、事業報告書に記載している内容との整合性を図る。</w:t>
      </w:r>
    </w:p>
    <w:p>
      <w:pPr>
        <w:pStyle w:val="0"/>
        <w:adjustRightInd w:val="1"/>
        <w:ind w:left="630" w:hanging="630" w:hangingChars="300"/>
        <w:rPr>
          <w:rFonts w:hint="default"/>
          <w:color w:val="auto"/>
          <w:sz w:val="21"/>
        </w:rPr>
      </w:pPr>
      <w:r>
        <w:rPr>
          <w:rFonts w:hint="eastAsia" w:ascii="HG丸ｺﾞｼｯｸM-PRO" w:hAnsi="HG丸ｺﾞｼｯｸM-PRO"/>
          <w:color w:val="auto"/>
          <w:sz w:val="21"/>
        </w:rPr>
        <w:t>　　３　</w:t>
      </w:r>
      <w:r>
        <w:rPr>
          <w:rFonts w:hint="eastAsia"/>
          <w:color w:val="auto"/>
          <w:sz w:val="21"/>
        </w:rPr>
        <w:t>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default"/>
          <w:color w:val="auto"/>
          <w:sz w:val="21"/>
        </w:rPr>
        <w:t>109</w:t>
      </w:r>
      <w:r>
        <w:rPr>
          <w:rFonts w:hint="eastAsia"/>
          <w:color w:val="auto"/>
          <w:sz w:val="21"/>
        </w:rPr>
        <w:t>頁）を参照のこと。</w:t>
      </w:r>
    </w:p>
    <w:p>
      <w:pPr>
        <w:pStyle w:val="0"/>
        <w:adjustRightInd w:val="1"/>
        <w:ind w:left="420" w:hanging="420" w:hangingChars="200"/>
        <w:rPr>
          <w:rFonts w:hint="default" w:ascii="HG丸ｺﾞｼｯｸM-PRO" w:hAnsi="HG丸ｺﾞｼｯｸM-PRO" w:eastAsia="HG丸ｺﾞｼｯｸM-PRO"/>
          <w:color w:val="auto"/>
          <w:sz w:val="21"/>
        </w:rPr>
      </w:pPr>
      <w:r>
        <w:rPr>
          <w:rFonts w:hint="eastAsia" w:ascii="HG丸ｺﾞｼｯｸM-PRO" w:hAnsi="HG丸ｺﾞｼｯｸM-PRO"/>
          <w:color w:val="auto"/>
          <w:sz w:val="21"/>
        </w:rPr>
        <w:t>　　４　「経理区分振替額」には、その他の事業で得た利益の振替額を記入する。</w:t>
      </w:r>
    </w:p>
    <w:p>
      <w:pPr>
        <w:pStyle w:val="0"/>
        <w:adjustRightInd w:val="1"/>
        <w:ind w:left="610" w:leftChars="200" w:hanging="210" w:hangingChars="100"/>
        <w:rPr>
          <w:rFonts w:hint="default"/>
          <w:color w:val="auto"/>
          <w:sz w:val="21"/>
        </w:rPr>
      </w:pPr>
      <w:r>
        <w:rPr>
          <w:rFonts w:hint="eastAsia"/>
          <w:color w:val="auto"/>
          <w:sz w:val="21"/>
        </w:rPr>
        <w:t>５　「前期繰越正味財産額」は、前々事業年度末の「次期繰越正味財産額」と一致する。</w:t>
      </w:r>
    </w:p>
    <w:p>
      <w:pPr>
        <w:pStyle w:val="0"/>
        <w:suppressAutoHyphens w:val="0"/>
        <w:wordWrap w:val="1"/>
        <w:autoSpaceDE w:val="1"/>
        <w:autoSpaceDN w:val="1"/>
        <w:adjustRightInd w:val="1"/>
        <w:spacing w:line="240" w:lineRule="exact"/>
        <w:ind w:firstLine="420" w:firstLineChars="200"/>
        <w:jc w:val="both"/>
        <w:textAlignment w:val="auto"/>
        <w:rPr>
          <w:rFonts w:hint="default"/>
          <w:color w:val="auto"/>
          <w:sz w:val="21"/>
        </w:rPr>
      </w:pPr>
      <w:r>
        <w:rPr>
          <w:rFonts w:hint="eastAsia"/>
          <w:color w:val="auto"/>
          <w:sz w:val="21"/>
        </w:rPr>
        <w:t>６　「次期繰越正味財産額」は、貸借対照表の「正味財産合計」と一致する。</w:t>
      </w:r>
    </w:p>
    <w:sectPr>
      <w:headerReference r:id="rId5" w:type="default"/>
      <w:footerReference r:id="rId6" w:type="default"/>
      <w:type w:val="continuous"/>
      <w:pgSz w:w="11906" w:h="16838"/>
      <w:pgMar w:top="1021" w:right="1134" w:bottom="907" w:left="1134" w:header="397" w:footer="720" w:gutter="0"/>
      <w:cols w:space="720"/>
      <w:noEndnote w:val="1"/>
      <w:textDirection w:val="lrTb"/>
      <w:docGrid w:type="linesAndChar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21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5</Words>
  <Characters>1468</Characters>
  <Application>JUST Note</Application>
  <Lines>377</Lines>
  <Paragraphs>220</Paragraphs>
  <Company>北海道</Company>
  <CharactersWithSpaces>1828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shiminkatsudo059</cp:lastModifiedBy>
  <cp:lastPrinted>2007-05-30T00:49:00Z</cp:lastPrinted>
  <dcterms:created xsi:type="dcterms:W3CDTF">2016-11-11T02:38:00Z</dcterms:created>
  <dcterms:modified xsi:type="dcterms:W3CDTF">2020-04-02T10:35:11Z</dcterms:modified>
  <cp:revision>6</cp:revision>
</cp:coreProperties>
</file>