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kern w:val="0"/>
          <w:sz w:val="22"/>
        </w:rPr>
        <w:t>　</w:t>
      </w:r>
      <w:r>
        <w:rPr>
          <w:rFonts w:hint="eastAsia" w:ascii="HG丸ｺﾞｼｯｸM-PRO" w:hAnsi="HG丸ｺﾞｼｯｸM-PRO" w:eastAsia="HG丸ｺﾞｼｯｸM-PRO"/>
          <w:color w:val="000000"/>
          <w:kern w:val="0"/>
          <w:sz w:val="22"/>
        </w:rPr>
        <w:t>①</w:t>
      </w:r>
      <w:r>
        <w:rPr>
          <w:rFonts w:hint="eastAsia" w:ascii="HG丸ｺﾞｼｯｸM-PRO" w:hAnsi="HG丸ｺﾞｼｯｸM-PRO" w:eastAsia="HG丸ｺﾞｼｯｸM-PRO"/>
          <w:b w:val="1"/>
          <w:color w:val="000000"/>
          <w:kern w:val="0"/>
          <w:sz w:val="22"/>
        </w:rPr>
        <w:t>　</w:t>
      </w:r>
      <w:r>
        <w:rPr>
          <w:rFonts w:hint="eastAsia" w:ascii="HG丸ｺﾞｼｯｸM-PRO" w:hAnsi="HG丸ｺﾞｼｯｸM-PRO" w:eastAsia="HG丸ｺﾞｼｯｸM-PRO"/>
          <w:b w:val="1"/>
          <w:kern w:val="0"/>
          <w:sz w:val="22"/>
        </w:rPr>
        <w:t>定款にその他の事業を掲げていない場合又はその他の事業の実施を予定していない場合</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○○年度　活動予算書</w:t>
      </w: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年　　月　　日から　　年　　月　　日まで</w:t>
      </w:r>
    </w:p>
    <w:p>
      <w:pPr>
        <w:pStyle w:val="0"/>
        <w:suppressAutoHyphens w:val="1"/>
        <w:wordWrap w:val="0"/>
        <w:autoSpaceDE w:val="0"/>
        <w:autoSpaceDN w:val="0"/>
        <w:jc w:val="center"/>
        <w:textAlignment w:val="baseline"/>
        <w:rPr>
          <w:rFonts w:hint="eastAsia" w:ascii="HG丸ｺﾞｼｯｸM-PRO" w:hAnsi="HG丸ｺﾞｼｯｸM-PRO"/>
          <w:kern w:val="0"/>
          <w:sz w:val="22"/>
        </w:rPr>
      </w:pPr>
      <w:r>
        <w:rPr>
          <w:rFonts w:hint="eastAsia" w:ascii="HG丸ｺﾞｼｯｸM-PRO" w:hAnsi="HG丸ｺﾞｼｯｸM-PRO"/>
          <w:kern w:val="0"/>
          <w:sz w:val="22"/>
        </w:rPr>
        <w:t>（設立の初年度の場合は、「法人成立の日から　　年　　月　　日まで」と表記）</w:t>
      </w:r>
    </w:p>
    <w:p>
      <w:pPr>
        <w:pStyle w:val="0"/>
        <w:suppressAutoHyphens w:val="1"/>
        <w:wordWrap w:val="0"/>
        <w:autoSpaceDE w:val="0"/>
        <w:autoSpaceDN w:val="0"/>
        <w:jc w:val="right"/>
        <w:textAlignment w:val="baseline"/>
        <w:rPr>
          <w:rFonts w:hint="eastAsia" w:ascii="HG丸ｺﾞｼｯｸM-PRO" w:hAnsi="HG丸ｺﾞｼｯｸM-PRO"/>
          <w:kern w:val="0"/>
        </w:rPr>
      </w:pPr>
      <w:r>
        <w:rPr>
          <w:rFonts w:hint="eastAsia" w:ascii="HG丸ｺﾞｼｯｸM-PRO" w:hAnsi="HG丸ｺﾞｼｯｸM-PRO"/>
          <w:kern w:val="0"/>
        </w:rPr>
        <w:t>特定非営利活動法人○○○○　</w:t>
      </w:r>
    </w:p>
    <w:tbl>
      <w:tblPr>
        <w:tblStyle w:val="11"/>
        <w:tblW w:w="0" w:type="auto"/>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18"/>
        <w:gridCol w:w="1418"/>
        <w:gridCol w:w="1418"/>
        <w:gridCol w:w="1418"/>
      </w:tblGrid>
      <w:tr>
        <w:trPr/>
        <w:tc>
          <w:tcPr>
            <w:tcW w:w="50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center"/>
              <w:textAlignment w:val="baseline"/>
              <w:rPr>
                <w:rFonts w:hint="eastAsia" w:ascii="HG丸ｺﾞｼｯｸM-PRO" w:hAnsi="HG丸ｺﾞｼｯｸM-PRO"/>
                <w:kern w:val="0"/>
              </w:rPr>
            </w:pPr>
            <w:r>
              <w:rPr>
                <w:rFonts w:hint="eastAsia" w:ascii="HG丸ｺﾞｼｯｸM-PRO" w:hAnsi="HG丸ｺﾞｼｯｸM-PRO"/>
                <w:kern w:val="0"/>
              </w:rPr>
              <w:t>科目</w:t>
            </w:r>
          </w:p>
        </w:tc>
        <w:tc>
          <w:tcPr>
            <w:tcW w:w="425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center"/>
              <w:textAlignment w:val="baseline"/>
              <w:rPr>
                <w:rFonts w:hint="eastAsia" w:ascii="HG丸ｺﾞｼｯｸM-PRO" w:hAnsi="HG丸ｺﾞｼｯｸM-PRO"/>
                <w:kern w:val="0"/>
              </w:rPr>
            </w:pPr>
            <w:r>
              <w:rPr>
                <w:rFonts w:hint="eastAsia" w:ascii="HG丸ｺﾞｼｯｸM-PRO" w:hAnsi="HG丸ｺﾞｼｯｸM-PRO"/>
                <w:kern w:val="0"/>
              </w:rPr>
              <w:t>金額（単位：円）</w:t>
            </w:r>
          </w:p>
        </w:tc>
      </w:tr>
      <w:tr>
        <w:trPr/>
        <w:tc>
          <w:tcPr>
            <w:tcW w:w="50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Ⅰ　経常収益</w:t>
            </w: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１　受取会費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正会員受取会費</w:t>
            </w:r>
          </w:p>
        </w:tc>
        <w:tc>
          <w:tcPr>
            <w:tcW w:w="141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default" w:ascii="HG丸ｺﾞｼｯｸM-PRO" w:hAnsi="HG丸ｺﾞｼｯｸM-PRO"/>
                <w:kern w:val="0"/>
              </w:rPr>
            </w:pPr>
            <w:r>
              <w:rPr>
                <w:rFonts w:hint="eastAsia" w:ascii="HG丸ｺﾞｼｯｸM-PRO" w:hAnsi="HG丸ｺﾞｼｯｸM-PRO"/>
                <w:kern w:val="0"/>
              </w:rPr>
              <w:t>×××</w:t>
            </w:r>
          </w:p>
          <w:p>
            <w:pPr>
              <w:pStyle w:val="0"/>
              <w:suppressAutoHyphens w:val="1"/>
              <w:autoSpaceDE w:val="0"/>
              <w:autoSpaceDN w:val="0"/>
              <w:spacing w:line="240" w:lineRule="exact"/>
              <w:jc w:val="right"/>
              <w:textAlignment w:val="baseline"/>
              <w:rPr>
                <w:rFonts w:hint="default" w:ascii="HG丸ｺﾞｼｯｸM-PRO" w:hAnsi="HG丸ｺﾞｼｯｸM-PRO"/>
                <w:kern w:val="0"/>
              </w:rPr>
            </w:pPr>
            <w:r>
              <w:rPr>
                <w:rFonts w:hint="eastAsia" w:ascii="HG丸ｺﾞｼｯｸM-PRO" w:hAnsi="HG丸ｺﾞｼｯｸM-PRO"/>
                <w:kern w:val="0"/>
              </w:rPr>
              <w:t>×××</w:t>
            </w:r>
          </w:p>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7" behindDoc="0" locked="0" layoutInCell="1" hidden="0" allowOverlap="1">
                      <wp:simplePos x="0" y="0"/>
                      <wp:positionH relativeFrom="column">
                        <wp:posOffset>2014855</wp:posOffset>
                      </wp:positionH>
                      <wp:positionV relativeFrom="paragraph">
                        <wp:posOffset>22225</wp:posOffset>
                      </wp:positionV>
                      <wp:extent cx="980440" cy="736600"/>
                      <wp:effectExtent l="347980"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980440" cy="736600"/>
                              </a:xfrm>
                              <a:prstGeom prst="wedgeRoundRectCallout">
                                <a:avLst>
                                  <a:gd name="adj1" fmla="val -85491"/>
                                  <a:gd name="adj2" fmla="val 36120"/>
                                  <a:gd name="adj3" fmla="val 16667"/>
                                </a:avLst>
                              </a:prstGeom>
                              <a:solidFill>
                                <a:srgbClr val="FFFFFF"/>
                              </a:solidFill>
                              <a:ln w="9525">
                                <a:solidFill>
                                  <a:sysClr val="windowText" lastClr="000000"/>
                                </a:solidFill>
                                <a:prstDash val="sysDot"/>
                                <a:miter/>
                              </a:ln>
                            </wps:spPr>
                            <wps:txbx>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1.75pt;mso-position-vertical-relative:text;mso-position-horizontal-relative:text;position:absolute;height:58pt;width:77.2pt;margin-left:158.65pt;z-index:7;" filled="t" fillcolor="#ffffff" stroked="t" strokecolor="#000000" strokeweight="0.75pt" o:spt="62" type="#_x0000_t62" adj="-7666,18602">
                      <v:fill/>
                      <v:stroke dashstyle="shortdot" filltype="solid"/>
                      <v:textbox style="layout-flow:horizontal;" inset="2.0637499999999998mm,0.24694444444444438mm,2.0637499999999998mm,0.24694444444444438mm">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v:textbox>
                      <v:imagedata o:title=""/>
                      <w10:wrap type="none" anchorx="text" anchory="text"/>
                    </v:shape>
                  </w:pict>
                </mc:Fallback>
              </mc:AlternateContent>
            </w:r>
            <w:r>
              <w:rPr>
                <w:rFonts w:hint="eastAsia" w:ascii="HG丸ｺﾞｼｯｸM-PRO" w:hAnsi="HG丸ｺﾞｼｯｸM-PRO"/>
                <w:kern w:val="0"/>
              </w:rPr>
              <w:t>　　　　賛助会員受取会費</w:t>
            </w:r>
          </w:p>
        </w:tc>
        <w:tc>
          <w:tcPr>
            <w:tcW w:w="14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２　受取寄附金</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受取寄附金</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施設等受入評価益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３　受取助成金等</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受取民間助成金</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４　事業収益</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○○事業収益</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５　その他収益</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受取利息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2" behindDoc="0" locked="0" layoutInCell="1" hidden="0" allowOverlap="1">
                      <wp:simplePos x="0" y="0"/>
                      <wp:positionH relativeFrom="column">
                        <wp:posOffset>1647190</wp:posOffset>
                      </wp:positionH>
                      <wp:positionV relativeFrom="paragraph">
                        <wp:posOffset>66675</wp:posOffset>
                      </wp:positionV>
                      <wp:extent cx="1348105" cy="736600"/>
                      <wp:effectExtent l="22669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348105" cy="736600"/>
                              </a:xfrm>
                              <a:prstGeom prst="wedgeRoundRectCallout">
                                <a:avLst>
                                  <a:gd name="adj1" fmla="val -66722"/>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5.25pt;mso-position-vertical-relative:text;mso-position-horizontal-relative:text;position:absolute;height:58pt;width:106.15pt;margin-left:129.69pt;z-index:2;" filled="t" fillcolor="#ffffff" stroked="t" strokecolor="#000000" strokeweight="0.75pt" o:spt="62" type="#_x0000_t62" adj="-3612,18602">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v:textbox>
                      <v:imagedata o:title=""/>
                      <w10:wrap type="none" anchorx="text" anchory="text"/>
                    </v:shape>
                  </w:pict>
                </mc:Fallback>
              </mc:AlternateContent>
            </w:r>
            <w:r>
              <w:rPr>
                <w:rFonts w:hint="eastAsia" w:ascii="HG丸ｺﾞｼｯｸM-PRO" w:hAnsi="HG丸ｺﾞｼｯｸM-PRO"/>
                <w:kern w:val="0"/>
              </w:rPr>
              <w:t>　　　　雑収益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経常収益計</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Ⅱ　経常費用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１　事業費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r>
              <w:rPr>
                <w:rFonts w:hint="eastAsia" w:ascii="ＭＳ 明朝" w:hAnsi="ＭＳ 明朝"/>
                <w:kern w:val="0"/>
              </w:rPr>
              <w:t xml:space="preserve">  (1) </w:t>
            </w:r>
            <w:r>
              <w:rPr>
                <w:rFonts w:hint="eastAsia" w:ascii="HG丸ｺﾞｼｯｸM-PRO" w:hAnsi="HG丸ｺﾞｼｯｸM-PRO"/>
                <w:kern w:val="0"/>
              </w:rPr>
              <w:t>人件費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給料手当</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法定福利費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退職給付費用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福利厚生費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3" behindDoc="0" locked="0" layoutInCell="1" hidden="0" allowOverlap="1">
                      <wp:simplePos x="0" y="0"/>
                      <wp:positionH relativeFrom="column">
                        <wp:posOffset>1922145</wp:posOffset>
                      </wp:positionH>
                      <wp:positionV relativeFrom="paragraph">
                        <wp:posOffset>47625</wp:posOffset>
                      </wp:positionV>
                      <wp:extent cx="1073150" cy="736600"/>
                      <wp:effectExtent l="22669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073150" cy="736600"/>
                              </a:xfrm>
                              <a:prstGeom prst="wedgeRoundRectCallout">
                                <a:avLst>
                                  <a:gd name="adj1" fmla="val -71005"/>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施設等受入評価益も併せて計上（計上は法人の任意）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3.75pt;mso-position-vertical-relative:text;mso-position-horizontal-relative:text;position:absolute;height:58pt;width:84.5pt;margin-left:151.35pt;z-index:3;" filled="t" fillcolor="#ffffff" stroked="t" strokecolor="#000000" strokeweight="0.75pt" o:spt="62" type="#_x0000_t62" adj="-4537,18602">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施設等受入評価益も併せて計上（計上は法人の任意）</w:t>
                            </w:r>
                          </w:p>
                        </w:txbxContent>
                      </v:textbox>
                      <v:imagedata o:title=""/>
                      <w10:wrap type="none" anchorx="text" anchory="text"/>
                    </v:shape>
                  </w:pict>
                </mc:Fallback>
              </mc:AlternateContent>
            </w:r>
            <w:r>
              <w:rPr>
                <w:rFonts w:hint="eastAsia" w:ascii="HG丸ｺﾞｼｯｸM-PRO" w:hAnsi="HG丸ｺﾞｼｯｸM-PRO"/>
                <w:kern w:val="0"/>
              </w:rPr>
              <w:t>　　　　　　人件費計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ＭＳ 明朝" w:hAnsi="ＭＳ 明朝"/>
                <w:kern w:val="0"/>
              </w:rPr>
            </w:pPr>
            <w:r>
              <w:rPr>
                <w:rFonts w:hint="eastAsia" w:ascii="HG丸ｺﾞｼｯｸM-PRO" w:hAnsi="HG丸ｺﾞｼｯｸM-PRO"/>
                <w:kern w:val="0"/>
              </w:rPr>
              <w:t>　</w:t>
            </w:r>
            <w:r>
              <w:rPr>
                <w:rFonts w:hint="eastAsia" w:ascii="ＭＳ 明朝" w:hAnsi="ＭＳ 明朝"/>
                <w:kern w:val="0"/>
              </w:rPr>
              <w:t>　　　</w:t>
            </w:r>
            <w:r>
              <w:rPr>
                <w:rFonts w:hint="eastAsia" w:ascii="ＭＳ 明朝" w:hAnsi="ＭＳ 明朝"/>
                <w:kern w:val="0"/>
              </w:rPr>
              <w:t xml:space="preserve">(2) </w:t>
            </w:r>
            <w:r>
              <w:rPr>
                <w:rFonts w:hint="eastAsia" w:ascii="ＭＳ 明朝" w:hAnsi="ＭＳ 明朝"/>
                <w:kern w:val="0"/>
              </w:rPr>
              <w:t>その他経費</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会議費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旅費交通費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施設等評価費用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減価償却費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支払利息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4" behindDoc="0" locked="0" layoutInCell="1" hidden="0" allowOverlap="1">
                      <wp:simplePos x="0" y="0"/>
                      <wp:positionH relativeFrom="column">
                        <wp:posOffset>1628140</wp:posOffset>
                      </wp:positionH>
                      <wp:positionV relativeFrom="paragraph">
                        <wp:posOffset>98425</wp:posOffset>
                      </wp:positionV>
                      <wp:extent cx="1348105" cy="736600"/>
                      <wp:effectExtent l="378460"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348105" cy="736600"/>
                              </a:xfrm>
                              <a:prstGeom prst="wedgeRoundRectCallout">
                                <a:avLst>
                                  <a:gd name="adj1" fmla="val -78028"/>
                                  <a:gd name="adj2" fmla="val -10431"/>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人件費とその他経費に分けた上で、費用の形態別に内訳を記載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style="margin-top:7.75pt;mso-position-vertical-relative:text;mso-position-horizontal-relative:text;position:absolute;height:58pt;width:106.15pt;margin-left:128.19pt;z-index:4;" filled="t" fillcolor="#ffffff" stroked="t" strokecolor="#000000" strokeweight="0.75pt" o:spt="62" type="#_x0000_t62" adj="-6054,8547">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人件費とその他経費に分けた上で、費用の形態別に内訳を記載</w:t>
                            </w:r>
                          </w:p>
                        </w:txbxContent>
                      </v:textbox>
                      <v:imagedata o:title=""/>
                      <w10:wrap type="none" anchorx="text" anchory="text"/>
                    </v:shape>
                  </w:pict>
                </mc:Fallback>
              </mc:AlternateContent>
            </w:r>
            <w:r>
              <w:rPr>
                <w:rFonts w:hint="eastAsia" w:ascii="HG丸ｺﾞｼｯｸM-PRO" w:hAnsi="HG丸ｺﾞｼｯｸM-PRO"/>
                <w:kern w:val="0"/>
              </w:rPr>
              <w:t>　　　　　　その他経費計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ind w:firstLine="772" w:firstLineChars="400"/>
              <w:textAlignment w:val="baseline"/>
              <w:rPr>
                <w:rFonts w:hint="eastAsia" w:ascii="HG丸ｺﾞｼｯｸM-PRO" w:hAnsi="HG丸ｺﾞｼｯｸM-PRO"/>
                <w:kern w:val="0"/>
              </w:rPr>
            </w:pPr>
            <w:r>
              <w:rPr>
                <w:rFonts w:hint="eastAsia" w:ascii="HG丸ｺﾞｼｯｸM-PRO" w:hAnsi="HG丸ｺﾞｼｯｸM-PRO"/>
                <w:kern w:val="0"/>
              </w:rPr>
              <w:t>事業費計　　　　　　　　　　　　　　</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２　管理費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r>
              <w:rPr>
                <w:rFonts w:hint="eastAsia" w:ascii="ＭＳ 明朝" w:hAnsi="ＭＳ 明朝"/>
                <w:kern w:val="0"/>
              </w:rPr>
              <w:t xml:space="preserve">  (1) </w:t>
            </w:r>
            <w:r>
              <w:rPr>
                <w:rFonts w:hint="eastAsia" w:ascii="HG丸ｺﾞｼｯｸM-PRO" w:hAnsi="HG丸ｺﾞｼｯｸM-PRO"/>
                <w:kern w:val="0"/>
              </w:rPr>
              <w:t>人件費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役員報酬</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給料手当</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法定福利費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退職給付費用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福利厚生費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人件費計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r>
              <w:rPr>
                <w:rFonts w:hint="eastAsia" w:ascii="ＭＳ 明朝" w:hAnsi="ＭＳ 明朝"/>
                <w:kern w:val="0"/>
              </w:rPr>
              <w:t>　　　</w:t>
            </w:r>
            <w:r>
              <w:rPr>
                <w:rFonts w:hint="eastAsia" w:ascii="ＭＳ 明朝" w:hAnsi="ＭＳ 明朝"/>
                <w:kern w:val="0"/>
              </w:rPr>
              <w:t xml:space="preserve">(2) </w:t>
            </w:r>
            <w:r>
              <w:rPr>
                <w:rFonts w:hint="eastAsia" w:ascii="ＭＳ 明朝" w:hAnsi="ＭＳ 明朝"/>
                <w:kern w:val="0"/>
              </w:rPr>
              <w:t>その他経費</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会議費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旅費交通費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減価償却費</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支払利息</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その他経費計</w:t>
            </w:r>
          </w:p>
        </w:tc>
        <w:tc>
          <w:tcPr>
            <w:tcW w:w="14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管理費計</w:t>
            </w: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経常費用計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当期経常増減額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Ⅲ　経常外収益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１　固定資産売却益</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経常外収益計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Ⅳ　経常外費用</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１　過年度損益修正損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経常外費用計</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当期正味財産増減額</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ind w:left="772" w:hanging="772" w:hangingChars="400"/>
              <w:jc w:val="left"/>
              <w:textAlignment w:val="baseline"/>
              <w:rPr>
                <w:rFonts w:hint="eastAsia" w:ascii="HG丸ｺﾞｼｯｸM-PRO" w:hAnsi="HG丸ｺﾞｼｯｸM-PRO"/>
                <w:kern w:val="0"/>
              </w:rPr>
            </w:pPr>
            <w:r>
              <w:rPr>
                <w:rFonts w:hint="eastAsia" w:ascii="HG丸ｺﾞｼｯｸM-PRO" w:hAnsi="HG丸ｺﾞｼｯｸM-PRO"/>
                <w:kern w:val="0"/>
              </w:rPr>
              <w:t>　　　　前期繰越正味財</w:t>
            </w:r>
            <w:r>
              <w:rPr>
                <w:rFonts w:hint="eastAsia" w:ascii="HG丸ｺﾞｼｯｸM-PRO" w:hAnsi="HG丸ｺﾞｼｯｸM-PRO"/>
                <w:color w:val="000000"/>
                <w:kern w:val="0"/>
              </w:rPr>
              <w:t>産額（</w:t>
            </w:r>
            <w:r>
              <w:rPr>
                <w:rFonts w:hint="default" w:ascii="Times New Roman" w:hAnsi="Times New Roman"/>
                <w:color w:val="000000"/>
                <w:kern w:val="0"/>
              </w:rPr>
              <w:t>設立年度は「設立時正味財産額</w:t>
            </w:r>
            <w:r>
              <w:rPr>
                <w:rFonts w:hint="eastAsia" w:ascii="HG丸ｺﾞｼｯｸM-PRO" w:hAnsi="HG丸ｺﾞｼｯｸM-PRO"/>
                <w:color w:val="000000"/>
                <w:kern w:val="0"/>
              </w:rPr>
              <w:t>」</w:t>
            </w:r>
            <w:r>
              <w:rPr>
                <w:rFonts w:hint="default" w:ascii="Times New Roman" w:hAnsi="Times New Roman"/>
                <w:color w:val="000000"/>
                <w:kern w:val="0"/>
              </w:rPr>
              <w:t>とする。）</w:t>
            </w: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50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次期繰越正味財産額</w:t>
            </w:r>
          </w:p>
        </w:tc>
        <w:tc>
          <w:tcPr>
            <w:tcW w:w="14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18"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bl>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　当該年度はその他の事業の実施を予定していません。</w:t>
      </w:r>
    </w:p>
    <w:p>
      <w:pPr>
        <w:pStyle w:val="0"/>
        <w:suppressAutoHyphens w:val="1"/>
        <w:autoSpaceDE w:val="0"/>
        <w:autoSpaceDN w:val="0"/>
        <w:spacing w:line="240" w:lineRule="exact"/>
        <w:jc w:val="left"/>
        <w:textAlignment w:val="baseline"/>
        <w:rPr>
          <w:rFonts w:hint="eastAsia" w:ascii="HG丸ｺﾞｼｯｸM-PRO" w:hAnsi="HG丸ｺﾞｼｯｸM-PRO"/>
          <w:kern w:val="0"/>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9264"/>
      </w:tblGrid>
      <w:tr>
        <w:trPr/>
        <w:tc>
          <w:tcPr>
            <w:tcW w:w="9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rPr>
              <w:t>（注）その他の事業を定款で掲げていない法人は、この脚注は不要。</w:t>
            </w:r>
          </w:p>
        </w:tc>
      </w:tr>
    </w:tbl>
    <w:p>
      <w:pPr>
        <w:pStyle w:val="0"/>
        <w:rPr>
          <w:rFonts w:hint="default" w:ascii="ＭＳ 明朝" w:hAnsi="ＭＳ 明朝"/>
          <w:kern w:val="0"/>
          <w:sz w:val="22"/>
        </w:rPr>
      </w:pPr>
    </w:p>
    <w:tbl>
      <w:tblPr>
        <w:tblStyle w:val="11"/>
        <w:tblW w:w="9264" w:type="dxa"/>
        <w:tblInd w:w="49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Look w:firstRow="1" w:lastRow="0" w:firstColumn="1" w:lastColumn="0" w:noHBand="0" w:noVBand="1" w:val="04A0"/>
      </w:tblPr>
      <w:tblGrid>
        <w:gridCol w:w="9264"/>
      </w:tblGrid>
      <w:tr>
        <w:trPr>
          <w:trHeight w:val="4596" w:hRule="atLeast"/>
        </w:trPr>
        <w:tc>
          <w:tcPr>
            <w:tcW w:w="92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579" w:hanging="579" w:hangingChars="300"/>
              <w:rPr>
                <w:rFonts w:hint="eastAsia" w:ascii="ＭＳ 明朝" w:hAnsi="ＭＳ 明朝"/>
                <w:kern w:val="0"/>
              </w:rPr>
            </w:pPr>
            <w:r>
              <w:rPr>
                <w:rFonts w:hint="eastAsia" w:ascii="ＭＳ 明朝" w:hAnsi="ＭＳ 明朝"/>
                <w:kern w:val="0"/>
              </w:rPr>
              <w:t>（注）　重要性が高いと判断される使途等が制約された寄附金等（対象事業等が定められた補助金等を含む）を受け入れた場合は、「一般正味財産増減の部」と「指定正味財産増減の部」に区分して表示することが望ましい。表示例は以下のとおり。</w:t>
            </w:r>
          </w:p>
          <w:tbl>
            <w:tblPr>
              <w:tblStyle w:val="11"/>
              <w:tblW w:w="8246" w:type="dxa"/>
              <w:tblInd w:w="609" w:type="dxa"/>
              <w:tblLayout w:type="fixed"/>
              <w:tblLook w:firstRow="1" w:lastRow="0" w:firstColumn="1" w:lastColumn="0" w:noHBand="0" w:noVBand="1" w:val="04A0"/>
            </w:tblPr>
            <w:tblGrid>
              <w:gridCol w:w="2950"/>
              <w:gridCol w:w="1544"/>
              <w:gridCol w:w="1696"/>
              <w:gridCol w:w="2056"/>
            </w:tblGrid>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w:t>
                  </w:r>
                  <w:r>
                    <w:rPr>
                      <w:rFonts w:hint="eastAsia" w:ascii="ＭＳ 明朝" w:hAnsi="ＭＳ 明朝"/>
                      <w:kern w:val="0"/>
                    </w:rPr>
                    <w:t>一般正味財産増減の部</w:t>
                  </w:r>
                  <w:r>
                    <w:rPr>
                      <w:rFonts w:hint="eastAsia" w:ascii="ＭＳ 明朝" w:hAnsi="ＭＳ 明朝"/>
                      <w:kern w:val="0"/>
                    </w:rPr>
                    <w:t>)</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mc:AlternateContent>
                      <mc:Choice Requires="wps">
                        <w:drawing>
                          <wp:anchor simplePos="0" relativeHeight="5" behindDoc="0" locked="0" layoutInCell="1" hidden="0" allowOverlap="1">
                            <wp:simplePos x="0" y="0"/>
                            <wp:positionH relativeFrom="column">
                              <wp:posOffset>-68580</wp:posOffset>
                            </wp:positionH>
                            <wp:positionV relativeFrom="paragraph">
                              <wp:posOffset>0</wp:posOffset>
                            </wp:positionV>
                            <wp:extent cx="2696210" cy="460375"/>
                            <wp:effectExtent l="261620" t="635" r="29845" b="16573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696210" cy="460375"/>
                                    </a:xfrm>
                                    <a:prstGeom prst="wedgeRoundRectCallout">
                                      <a:avLst>
                                        <a:gd name="adj1" fmla="val -59681"/>
                                        <a:gd name="adj2" fmla="val 83657"/>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使途等の制約が解除されたことによる指定</w:t>
                                        </w:r>
                                      </w:p>
                                      <w:p>
                                        <w:pPr>
                                          <w:pStyle w:val="0"/>
                                          <w:rPr>
                                            <w:rFonts w:hint="eastAsia"/>
                                            <w:sz w:val="18"/>
                                          </w:rPr>
                                        </w:pPr>
                                        <w:r>
                                          <w:rPr>
                                            <w:rFonts w:hint="eastAsia"/>
                                            <w:sz w:val="18"/>
                                          </w:rPr>
                                          <w:t>正味財産から一般正味財産への振替額</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style="margin-top:0pt;mso-position-vertical-relative:text;mso-position-horizontal-relative:text;position:absolute;height:36.25pt;width:212.3pt;margin-left:-5.4pt;z-index:5;" filled="t" fillcolor="#ffffff" stroked="t" strokecolor="#000000" strokeweight="0.75pt" o:spt="62" type="#_x0000_t62" adj="-2091,28870">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使途等の制約が解除されたことによる指定</w:t>
                                  </w:r>
                                </w:p>
                                <w:p>
                                  <w:pPr>
                                    <w:pStyle w:val="0"/>
                                    <w:rPr>
                                      <w:rFonts w:hint="eastAsia"/>
                                      <w:sz w:val="18"/>
                                    </w:rPr>
                                  </w:pPr>
                                  <w:r>
                                    <w:rPr>
                                      <w:rFonts w:hint="eastAsia"/>
                                      <w:sz w:val="18"/>
                                    </w:rPr>
                                    <w:t>正味財産から一般正味財産への振替額</w:t>
                                  </w:r>
                                </w:p>
                              </w:txbxContent>
                            </v:textbox>
                            <v:imagedata o:title=""/>
                            <w10:wrap type="none" anchorx="text" anchory="text"/>
                          </v:shape>
                        </w:pict>
                      </mc:Fallback>
                    </mc:AlternateConten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Ⅰ　経常収益</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１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受取寄附金振替額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93" w:firstLineChars="100"/>
                    <w:rPr>
                      <w:rFonts w:hint="eastAsia" w:ascii="ＭＳ 明朝" w:hAnsi="ＭＳ 明朝"/>
                      <w:kern w:val="0"/>
                    </w:rPr>
                  </w:pPr>
                  <w:r>
                    <w:rPr>
                      <w:rFonts w:hint="eastAsia" w:ascii="ＭＳ 明朝" w:hAnsi="ＭＳ 明朝"/>
                      <w:kern w:val="0"/>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Ⅱ　経常費用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援助用消耗品費</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93" w:firstLineChars="100"/>
                    <w:rPr>
                      <w:rFonts w:hint="eastAsia" w:ascii="ＭＳ 明朝" w:hAnsi="ＭＳ 明朝"/>
                      <w:kern w:val="0"/>
                    </w:rPr>
                  </w:pPr>
                  <w:r>
                    <w:rPr>
                      <w:rFonts w:hint="eastAsia" w:ascii="ＭＳ 明朝" w:hAnsi="ＭＳ 明朝"/>
                      <w:kern w:val="0"/>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（指定正味財産増減の部）</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mc:AlternateContent>
                      <mc:Choice Requires="wps">
                        <w:drawing>
                          <wp:anchor simplePos="0" relativeHeight="6" behindDoc="0" locked="0" layoutInCell="1" hidden="0" allowOverlap="1">
                            <wp:simplePos x="0" y="0"/>
                            <wp:positionH relativeFrom="column">
                              <wp:posOffset>-68580</wp:posOffset>
                            </wp:positionH>
                            <wp:positionV relativeFrom="paragraph">
                              <wp:posOffset>158750</wp:posOffset>
                            </wp:positionV>
                            <wp:extent cx="1715770" cy="460375"/>
                            <wp:effectExtent l="38417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715770" cy="460375"/>
                                    </a:xfrm>
                                    <a:prstGeom prst="wedgeRoundRectCallout">
                                      <a:avLst>
                                        <a:gd name="adj1" fmla="val -72352"/>
                                        <a:gd name="adj2" fmla="val 43657"/>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「受取寄附金振替額」と同額をマイナス計上</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argin-top:12.5pt;mso-position-vertical-relative:text;mso-position-horizontal-relative:text;position:absolute;height:36.25pt;width:135.1pt;margin-left:-5.4pt;z-index:6;" filled="t" fillcolor="#ffffff" stroked="t" strokecolor="#000000" strokeweight="0.75pt" o:spt="62" type="#_x0000_t62" adj="-4828,20230">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「受取寄附金振替額」と同額をマイナス計上</w:t>
                                  </w:r>
                                </w:p>
                              </w:txbxContent>
                            </v:textbox>
                            <v:imagedata o:title=""/>
                            <w10:wrap type="none" anchorx="text" anchory="text"/>
                          </v:shape>
                        </w:pict>
                      </mc:Fallback>
                    </mc:AlternateContent>
                  </w: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受取寄附金</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93" w:firstLineChars="100"/>
                    <w:rPr>
                      <w:rFonts w:hint="eastAsia" w:ascii="ＭＳ 明朝" w:hAnsi="ＭＳ 明朝"/>
                      <w:kern w:val="0"/>
                    </w:rPr>
                  </w:pPr>
                  <w:r>
                    <w:rPr>
                      <w:rFonts w:hint="eastAsia" w:ascii="ＭＳ 明朝" w:hAnsi="ＭＳ 明朝"/>
                      <w:kern w:val="0"/>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r>
              <w:trPr/>
              <w:tc>
                <w:tcPr>
                  <w:tcW w:w="2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　一般正味財産への振替額</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r>
                    <w:rPr>
                      <w:rFonts w:hint="eastAsia" w:ascii="ＭＳ 明朝" w:hAnsi="ＭＳ 明朝"/>
                      <w:kern w:val="0"/>
                    </w:rPr>
                    <w:t>△×××</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c>
                <w:tcPr>
                  <w:tcW w:w="20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kern w:val="0"/>
                    </w:rPr>
                  </w:pPr>
                </w:p>
              </w:tc>
            </w:tr>
          </w:tbl>
          <w:p>
            <w:pPr>
              <w:pStyle w:val="0"/>
              <w:ind w:left="609" w:hanging="609" w:hangingChars="300"/>
              <w:rPr>
                <w:rFonts w:hint="eastAsia" w:ascii="ＭＳ 明朝" w:hAnsi="ＭＳ 明朝"/>
                <w:kern w:val="0"/>
                <w:sz w:val="22"/>
              </w:rPr>
            </w:pPr>
          </w:p>
        </w:tc>
      </w:tr>
    </w:tbl>
    <w:p>
      <w:pPr>
        <w:pStyle w:val="0"/>
        <w:rPr>
          <w:rFonts w:hint="default" w:ascii="HG丸ｺﾞｼｯｸM-PRO" w:hAnsi="HG丸ｺﾞｼｯｸM-PRO" w:eastAsia="HG丸ｺﾞｼｯｸM-PRO"/>
          <w:kern w:val="0"/>
          <w:sz w:val="22"/>
        </w:rPr>
      </w:pPr>
      <w:r>
        <w:rPr>
          <w:rFonts w:hint="eastAsia" w:ascii="HG丸ｺﾞｼｯｸM-PRO" w:hAnsi="HG丸ｺﾞｼｯｸM-PRO"/>
          <w:kern w:val="0"/>
        </w:rPr>
        <w:t>　（備考）</w:t>
      </w:r>
    </w:p>
    <w:p>
      <w:pPr>
        <w:pStyle w:val="0"/>
        <w:suppressAutoHyphens w:val="1"/>
        <w:wordWrap w:val="0"/>
        <w:autoSpaceDE w:val="0"/>
        <w:autoSpaceDN w:val="0"/>
        <w:jc w:val="left"/>
        <w:textAlignment w:val="baseline"/>
        <w:rPr>
          <w:rFonts w:hint="eastAsia" w:ascii="HG丸ｺﾞｼｯｸM-PRO" w:hAnsi="HG丸ｺﾞｼｯｸM-PRO"/>
          <w:kern w:val="0"/>
        </w:rPr>
      </w:pPr>
      <w:r>
        <w:rPr>
          <w:rFonts w:hint="eastAsia" w:ascii="HG丸ｺﾞｼｯｸM-PRO" w:hAnsi="HG丸ｺﾞｼｯｸM-PRO"/>
          <w:kern w:val="0"/>
        </w:rPr>
        <w:t>　　１　用紙の大きさは、日本産業規格Ａ列４番とする。</w:t>
      </w:r>
    </w:p>
    <w:p>
      <w:pPr>
        <w:pStyle w:val="0"/>
        <w:suppressAutoHyphens w:val="1"/>
        <w:wordWrap w:val="0"/>
        <w:autoSpaceDE w:val="0"/>
        <w:autoSpaceDN w:val="0"/>
        <w:ind w:left="579" w:hanging="579"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２　設立当初の事業年度及び翌事業年度の活動予算書はそれぞれ別に作成する。なお、設立当初の活動予算書は、設立認証申請予定日のおおむね３か月後から事業年度末までの期間について記載する。</w:t>
      </w:r>
    </w:p>
    <w:p>
      <w:pPr>
        <w:pStyle w:val="0"/>
        <w:suppressAutoHyphens w:val="1"/>
        <w:wordWrap w:val="0"/>
        <w:autoSpaceDE w:val="0"/>
        <w:autoSpaceDN w:val="0"/>
        <w:spacing w:line="280" w:lineRule="exact"/>
        <w:ind w:left="579" w:hanging="579"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３　定款上、「その他の事業」に関する事項を定めている場合で、その他の事業を実施していないときは、上記の脚注のように記載し、その他の事業を行う場合は、</w:t>
      </w:r>
      <w:r>
        <w:rPr>
          <w:rFonts w:hint="eastAsia" w:ascii="ＭＳ 明朝" w:hAnsi="ＭＳ 明朝"/>
          <w:kern w:val="0"/>
        </w:rPr>
        <w:t>22</w:t>
      </w:r>
      <w:r>
        <w:rPr>
          <w:rFonts w:hint="eastAsia" w:ascii="ＭＳ 明朝" w:hAnsi="ＭＳ 明朝"/>
          <w:kern w:val="0"/>
        </w:rPr>
        <w:t>頁～</w:t>
      </w:r>
      <w:r>
        <w:rPr>
          <w:rFonts w:hint="eastAsia" w:ascii="ＭＳ 明朝" w:hAnsi="ＭＳ 明朝"/>
          <w:kern w:val="0"/>
        </w:rPr>
        <w:t>23</w:t>
      </w:r>
      <w:r>
        <w:rPr>
          <w:rFonts w:hint="eastAsia" w:ascii="ＭＳ 明朝" w:hAnsi="ＭＳ 明朝"/>
          <w:kern w:val="0"/>
        </w:rPr>
        <w:t>頁</w:t>
      </w:r>
      <w:r>
        <w:rPr>
          <w:rFonts w:hint="eastAsia" w:ascii="HG丸ｺﾞｼｯｸM-PRO" w:hAnsi="HG丸ｺﾞｼｯｸM-PRO"/>
          <w:kern w:val="0"/>
        </w:rPr>
        <w:t>の作成例のように活動予算書を作成する。</w:t>
      </w:r>
    </w:p>
    <w:p>
      <w:pPr>
        <w:pStyle w:val="0"/>
        <w:suppressAutoHyphens w:val="1"/>
        <w:wordWrap w:val="0"/>
        <w:autoSpaceDE w:val="0"/>
        <w:autoSpaceDN w:val="0"/>
        <w:ind w:left="579" w:hanging="579"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４　設立時の資金がある場合は、設立当初の事業年度に設立時正味財産額としてその額を記載する。翌事業年度以降は、前年度の活動予算書に次期繰越正味財産額として掲げた額を前期繰越正味財産額として記載する。</w:t>
      </w:r>
    </w:p>
    <w:p>
      <w:pPr>
        <w:pStyle w:val="0"/>
        <w:suppressAutoHyphens w:val="1"/>
        <w:wordWrap w:val="0"/>
        <w:autoSpaceDE w:val="0"/>
        <w:autoSpaceDN w:val="0"/>
        <w:ind w:left="579" w:hanging="579"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５　「事業費」とは、法人の事業の実施のために直接要する費用で、管理費以外のものをいい、当該事業の実施のために直接要する人件費、交通費等の費用が含まれる。なお、事業計画書に記載している内容との整合性を図る。</w:t>
      </w:r>
    </w:p>
    <w:p>
      <w:pPr>
        <w:pStyle w:val="0"/>
        <w:suppressAutoHyphens w:val="1"/>
        <w:wordWrap w:val="0"/>
        <w:autoSpaceDE w:val="0"/>
        <w:autoSpaceDN w:val="0"/>
        <w:ind w:left="579" w:hanging="579" w:hangingChars="300"/>
        <w:jc w:val="left"/>
        <w:textAlignment w:val="baseline"/>
        <w:rPr>
          <w:rFonts w:hint="default" w:ascii="ＭＳ 明朝" w:hAnsi="ＭＳ 明朝"/>
          <w:kern w:val="0"/>
        </w:rPr>
      </w:pPr>
      <w:r>
        <w:rPr>
          <w:rFonts w:hint="eastAsia" w:ascii="HG丸ｺﾞｼｯｸM-PRO" w:hAnsi="HG丸ｺﾞｼｯｸM-PRO"/>
          <w:kern w:val="0"/>
        </w:rPr>
        <w:t>　　６　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Pr>
          <w:rFonts w:hint="eastAsia" w:ascii="ＭＳ 明朝" w:hAnsi="ＭＳ 明朝"/>
          <w:kern w:val="0"/>
        </w:rPr>
        <w:t>（</w:t>
      </w:r>
      <w:r>
        <w:rPr>
          <w:rFonts w:hint="eastAsia" w:ascii="ＭＳ 明朝" w:hAnsi="ＭＳ 明朝"/>
          <w:kern w:val="0"/>
        </w:rPr>
        <w:t>89</w:t>
      </w:r>
      <w:r>
        <w:rPr>
          <w:rFonts w:hint="eastAsia" w:ascii="ＭＳ 明朝" w:hAnsi="ＭＳ 明朝"/>
          <w:kern w:val="0"/>
        </w:rPr>
        <w:t>頁）を参照。）</w:t>
      </w:r>
    </w:p>
    <w:p>
      <w:pPr>
        <w:pStyle w:val="0"/>
        <w:suppressAutoHyphens w:val="1"/>
        <w:wordWrap w:val="0"/>
        <w:autoSpaceDE w:val="0"/>
        <w:autoSpaceDN w:val="0"/>
        <w:ind w:left="609" w:hanging="609" w:hangingChars="300"/>
        <w:jc w:val="left"/>
        <w:textAlignment w:val="baseline"/>
        <w:rPr>
          <w:rFonts w:hint="eastAsia"/>
          <w:kern w:val="0"/>
        </w:rPr>
      </w:pPr>
      <w:r>
        <w:rPr>
          <w:rFonts w:hint="eastAsia" w:ascii="HG丸ｺﾞｼｯｸM-PRO" w:hAnsi="HG丸ｺﾞｼｯｸM-PRO"/>
          <w:color w:val="000000"/>
          <w:kern w:val="0"/>
          <w:sz w:val="22"/>
        </w:rPr>
        <w:t>　　※　この書面は、申請受理後２週</w:t>
      </w:r>
      <w:bookmarkStart w:id="0" w:name="_GoBack"/>
      <w:bookmarkEnd w:id="0"/>
      <w:r>
        <w:rPr>
          <w:rFonts w:hint="eastAsia" w:ascii="HG丸ｺﾞｼｯｸM-PRO" w:hAnsi="HG丸ｺﾞｼｯｸM-PRO"/>
          <w:color w:val="000000"/>
          <w:kern w:val="0"/>
          <w:sz w:val="22"/>
        </w:rPr>
        <w:t>間、縦覧されます。</w:t>
      </w:r>
    </w:p>
    <w:sectPr>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93"/>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21"/>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name w:val="Book Title"/>
    <w:next w:val="18"/>
    <w:link w:val="0"/>
    <w:uiPriority w:val="0"/>
    <w:qFormat/>
    <w:rPr>
      <w:rFonts w:eastAsia="ＭＳ 明朝"/>
      <w:smallCaps w:val="1"/>
      <w:spacing w:val="5"/>
      <w:sz w:val="21"/>
    </w:r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rPr>
      <w:rFonts w:ascii="ＭＳ 明朝" w:hAnsi="ＭＳ 明朝"/>
      <w:kern w:val="2"/>
      <w:sz w:val="21"/>
    </w:rPr>
  </w:style>
  <w:style w:type="character" w:styleId="21" w:customStyle="1">
    <w:name w:val="見出し 2 (文字)"/>
    <w:next w:val="21"/>
    <w:link w:val="2"/>
    <w:uiPriority w:val="0"/>
    <w:rPr>
      <w:rFonts w:ascii="Arial" w:hAnsi="Arial" w:eastAsia="ＭＳ ゴシック"/>
      <w:kern w:val="2"/>
      <w:sz w:val="21"/>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明朝" w:hAnsi="ＭＳ 明朝"/>
      <w:color w:val="000000"/>
      <w:kern w:val="0"/>
    </w:rPr>
  </w:style>
  <w:style w:type="character" w:styleId="24" w:customStyle="1">
    <w:name w:val="記 (文字)"/>
    <w:next w:val="24"/>
    <w:link w:val="23"/>
    <w:uiPriority w:val="0"/>
    <w:rPr>
      <w:rFonts w:ascii="ＭＳ 明朝" w:hAnsi="ＭＳ 明朝"/>
      <w:color w:val="000000"/>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paragraph" w:styleId="30" w:customStyle="1">
    <w:name w:val="スタイル1"/>
    <w:basedOn w:val="0"/>
    <w:next w:val="30"/>
    <w:link w:val="31"/>
    <w:uiPriority w:val="0"/>
    <w:qFormat/>
    <w:pPr>
      <w:jc w:val="left"/>
    </w:pPr>
    <w:rPr>
      <w:rFonts w:ascii="HG丸ｺﾞｼｯｸM-PRO" w:hAnsi="HG丸ｺﾞｼｯｸM-PRO" w:eastAsia="HG丸ｺﾞｼｯｸM-PRO"/>
      <w:b w:val="1"/>
      <w:sz w:val="24"/>
    </w:rPr>
  </w:style>
  <w:style w:type="character" w:styleId="31" w:customStyle="1">
    <w:name w:val="スタイル1 (文字)"/>
    <w:next w:val="31"/>
    <w:link w:val="30"/>
    <w:uiPriority w:val="0"/>
    <w:rPr>
      <w:rFonts w:ascii="HG丸ｺﾞｼｯｸM-PRO" w:hAnsi="HG丸ｺﾞｼｯｸM-PRO" w:eastAsia="HG丸ｺﾞｼｯｸM-PRO"/>
      <w:b w:val="1"/>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7</Words>
  <Characters>1568</Characters>
  <Application>JUST Note</Application>
  <Lines>402</Lines>
  <Paragraphs>158</Paragraphs>
  <Company>Hewlett-Packard Co.</Company>
  <CharactersWithSpaces>1943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2017-06-22T00:43:00Z</cp:lastPrinted>
  <dcterms:created xsi:type="dcterms:W3CDTF">2018-02-06T05:54:00Z</dcterms:created>
  <dcterms:modified xsi:type="dcterms:W3CDTF">2020-04-02T10:19:04Z</dcterms:modified>
  <cp:revision>5</cp:revision>
</cp:coreProperties>
</file>