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autoSpaceDE w:val="0"/>
        <w:autoSpaceDN w:val="0"/>
        <w:jc w:val="left"/>
        <w:textAlignment w:val="baseline"/>
        <w:rPr>
          <w:rFonts w:hint="eastAsia" w:ascii="HG丸ｺﾞｼｯｸM-PRO" w:hAnsi="HG丸ｺﾞｼｯｸM-PRO" w:eastAsia="HG丸ｺﾞｼｯｸM-PRO"/>
          <w:b w:val="1"/>
          <w:kern w:val="0"/>
          <w:sz w:val="22"/>
        </w:rPr>
      </w:pPr>
      <w:r>
        <w:rPr>
          <w:rFonts w:hint="eastAsia" w:ascii="HG丸ｺﾞｼｯｸM-PRO" w:hAnsi="HG丸ｺﾞｼｯｸM-PRO" w:eastAsia="HG丸ｺﾞｼｯｸM-PRO"/>
          <w:b w:val="1"/>
          <w:color w:val="000000"/>
          <w:kern w:val="0"/>
          <w:sz w:val="22"/>
        </w:rPr>
        <w:t>②　</w:t>
      </w:r>
      <w:r>
        <w:rPr>
          <w:rFonts w:hint="eastAsia" w:ascii="HG丸ｺﾞｼｯｸM-PRO" w:hAnsi="HG丸ｺﾞｼｯｸM-PRO" w:eastAsia="HG丸ｺﾞｼｯｸM-PRO"/>
          <w:b w:val="1"/>
          <w:kern w:val="0"/>
          <w:sz w:val="22"/>
        </w:rPr>
        <w:t>定款にその他の事業を掲げ、その他の事業を行う場合</w:t>
      </w:r>
    </w:p>
    <w:p>
      <w:pPr>
        <w:pStyle w:val="0"/>
        <w:suppressAutoHyphens w:val="1"/>
        <w:wordWrap w:val="0"/>
        <w:autoSpaceDE w:val="0"/>
        <w:autoSpaceDN w:val="0"/>
        <w:jc w:val="left"/>
        <w:textAlignment w:val="baseline"/>
        <w:rPr>
          <w:rFonts w:hint="eastAsia" w:ascii="HG丸ｺﾞｼｯｸM-PRO" w:hAnsi="HG丸ｺﾞｼｯｸM-PRO" w:eastAsia="HG丸ｺﾞｼｯｸM-PRO"/>
          <w:kern w:val="0"/>
          <w:sz w:val="22"/>
        </w:rPr>
      </w:pP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jc w:val="center"/>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rPr>
        <w:t>○○年度　活動予算書</w:t>
      </w: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jc w:val="center"/>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rPr>
        <w:t>　　年　　月　　日から　　年　　月　　日まで</w:t>
      </w:r>
    </w:p>
    <w:p>
      <w:pPr>
        <w:pStyle w:val="0"/>
        <w:suppressAutoHyphens w:val="1"/>
        <w:wordWrap w:val="0"/>
        <w:autoSpaceDE w:val="0"/>
        <w:autoSpaceDN w:val="0"/>
        <w:jc w:val="center"/>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sz w:val="22"/>
        </w:rPr>
        <w:t>（設立の初年度の場合は、「法人成立の日から　　年　　月　　日まで」と表記）</w:t>
      </w:r>
    </w:p>
    <w:p>
      <w:pPr>
        <w:pStyle w:val="0"/>
        <w:suppressAutoHyphens w:val="1"/>
        <w:wordWrap w:val="0"/>
        <w:autoSpaceDE w:val="0"/>
        <w:autoSpaceDN w:val="0"/>
        <w:jc w:val="left"/>
        <w:textAlignment w:val="baseline"/>
        <w:rPr>
          <w:rFonts w:hint="default" w:ascii="HG丸ｺﾞｼｯｸM-PRO" w:hAnsi="HG丸ｺﾞｼｯｸM-PRO" w:eastAsia="HG丸ｺﾞｼｯｸM-PRO"/>
          <w:kern w:val="0"/>
          <w:sz w:val="22"/>
        </w:rPr>
      </w:pPr>
    </w:p>
    <w:p>
      <w:pPr>
        <w:pStyle w:val="0"/>
        <w:suppressAutoHyphens w:val="1"/>
        <w:wordWrap w:val="0"/>
        <w:autoSpaceDE w:val="0"/>
        <w:autoSpaceDN w:val="0"/>
        <w:ind w:right="210"/>
        <w:jc w:val="right"/>
        <w:textAlignment w:val="baseline"/>
        <w:rPr>
          <w:rFonts w:hint="eastAsia" w:ascii="HG丸ｺﾞｼｯｸM-PRO" w:hAnsi="HG丸ｺﾞｼｯｸM-PRO"/>
          <w:kern w:val="0"/>
        </w:rPr>
      </w:pPr>
      <w:r>
        <w:rPr>
          <w:rFonts w:hint="eastAsia" w:ascii="HG丸ｺﾞｼｯｸM-PRO" w:hAnsi="HG丸ｺﾞｼｯｸM-PRO"/>
          <w:kern w:val="0"/>
        </w:rPr>
        <w:t>特定非営利活動法人○○○○</w:t>
      </w:r>
    </w:p>
    <w:p>
      <w:pPr>
        <w:pStyle w:val="0"/>
        <w:suppressAutoHyphens w:val="1"/>
        <w:wordWrap w:val="0"/>
        <w:autoSpaceDE w:val="0"/>
        <w:autoSpaceDN w:val="0"/>
        <w:jc w:val="right"/>
        <w:textAlignment w:val="baseline"/>
        <w:rPr>
          <w:rFonts w:hint="eastAsia" w:ascii="HG丸ｺﾞｼｯｸM-PRO" w:hAnsi="HG丸ｺﾞｼｯｸM-PRO"/>
          <w:kern w:val="0"/>
        </w:rPr>
      </w:pPr>
      <w:r>
        <w:rPr>
          <w:rFonts w:hint="eastAsia" w:ascii="HG丸ｺﾞｼｯｸM-PRO" w:hAnsi="HG丸ｺﾞｼｯｸM-PRO"/>
          <w:kern w:val="0"/>
        </w:rPr>
        <w:t>（単位：円）　</w:t>
      </w:r>
    </w:p>
    <w:tbl>
      <w:tblPr>
        <w:tblStyle w:val="11"/>
        <w:tblW w:w="9264" w:type="dxa"/>
        <w:tblInd w:w="4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923"/>
        <w:gridCol w:w="1447"/>
        <w:gridCol w:w="1447"/>
        <w:gridCol w:w="1447"/>
      </w:tblGrid>
      <w:tr>
        <w:trPr/>
        <w:tc>
          <w:tcPr>
            <w:tcW w:w="492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center"/>
              <w:textAlignment w:val="baseline"/>
              <w:rPr>
                <w:rFonts w:hint="eastAsia" w:ascii="HG丸ｺﾞｼｯｸM-PRO" w:hAnsi="HG丸ｺﾞｼｯｸM-PRO"/>
                <w:kern w:val="0"/>
              </w:rPr>
            </w:pPr>
            <w:r>
              <w:rPr>
                <w:rFonts w:hint="eastAsia" w:ascii="HG丸ｺﾞｼｯｸM-PRO" w:hAnsi="HG丸ｺﾞｼｯｸM-PRO"/>
                <w:kern w:val="0"/>
              </w:rPr>
              <w:t>科目</w:t>
            </w:r>
          </w:p>
        </w:tc>
        <w:tc>
          <w:tcPr>
            <w:tcW w:w="14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center"/>
              <w:textAlignment w:val="baseline"/>
              <w:rPr>
                <w:rFonts w:hint="eastAsia" w:ascii="HG丸ｺﾞｼｯｸM-PRO" w:hAnsi="HG丸ｺﾞｼｯｸM-PRO"/>
                <w:kern w:val="0"/>
              </w:rPr>
            </w:pPr>
            <w:r>
              <w:rPr>
                <w:rFonts w:hint="eastAsia" w:ascii="HG丸ｺﾞｼｯｸM-PRO" w:hAnsi="HG丸ｺﾞｼｯｸM-PRO"/>
                <w:kern w:val="0"/>
              </w:rPr>
              <w:t>特定非営利活動に係る事業</w:t>
            </w:r>
          </w:p>
        </w:tc>
        <w:tc>
          <w:tcPr>
            <w:tcW w:w="14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uppressAutoHyphens w:val="1"/>
              <w:autoSpaceDE w:val="0"/>
              <w:autoSpaceDN w:val="0"/>
              <w:spacing w:line="240" w:lineRule="exact"/>
              <w:jc w:val="center"/>
              <w:textAlignment w:val="baseline"/>
              <w:rPr>
                <w:rFonts w:hint="eastAsia" w:ascii="HG丸ｺﾞｼｯｸM-PRO" w:hAnsi="HG丸ｺﾞｼｯｸM-PRO"/>
                <w:kern w:val="0"/>
              </w:rPr>
            </w:pPr>
            <w:r>
              <w:rPr>
                <w:rFonts w:hint="eastAsia" w:ascii="HG丸ｺﾞｼｯｸM-PRO" w:hAnsi="HG丸ｺﾞｼｯｸM-PRO"/>
                <w:kern w:val="0"/>
              </w:rPr>
              <w:t>その他の事業</w:t>
            </w:r>
          </w:p>
        </w:tc>
        <w:tc>
          <w:tcPr>
            <w:tcW w:w="14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uppressAutoHyphens w:val="1"/>
              <w:autoSpaceDE w:val="0"/>
              <w:autoSpaceDN w:val="0"/>
              <w:spacing w:line="240" w:lineRule="exact"/>
              <w:jc w:val="center"/>
              <w:textAlignment w:val="baseline"/>
              <w:rPr>
                <w:rFonts w:hint="eastAsia" w:ascii="HG丸ｺﾞｼｯｸM-PRO" w:hAnsi="HG丸ｺﾞｼｯｸM-PRO"/>
                <w:kern w:val="0"/>
              </w:rPr>
            </w:pPr>
            <w:r>
              <w:rPr>
                <w:rFonts w:hint="eastAsia" w:ascii="HG丸ｺﾞｼｯｸM-PRO" w:hAnsi="HG丸ｺﾞｼｯｸM-PRO"/>
                <w:kern w:val="0"/>
              </w:rPr>
              <w:t>合計</w:t>
            </w:r>
          </w:p>
        </w:tc>
      </w:tr>
      <w:tr>
        <w:trPr/>
        <w:tc>
          <w:tcPr>
            <w:tcW w:w="492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Ⅰ　経常収益</w:t>
            </w:r>
          </w:p>
        </w:tc>
        <w:tc>
          <w:tcPr>
            <w:tcW w:w="144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4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4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１　受取会費</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正会員受取会費</w:t>
            </w:r>
          </w:p>
        </w:tc>
        <w:tc>
          <w:tcPr>
            <w:tcW w:w="1447"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default" w:ascii="HG丸ｺﾞｼｯｸM-PRO" w:hAnsi="HG丸ｺﾞｼｯｸM-PRO"/>
                <w:kern w:val="0"/>
              </w:rPr>
            </w:pPr>
            <w:r>
              <w:rPr>
                <w:rFonts w:hint="eastAsia" w:ascii="HG丸ｺﾞｼｯｸM-PRO" w:hAnsi="HG丸ｺﾞｼｯｸM-PRO"/>
                <w:kern w:val="0"/>
              </w:rPr>
              <w:t>×××</w:t>
            </w:r>
          </w:p>
          <w:p>
            <w:pPr>
              <w:pStyle w:val="0"/>
              <w:suppressAutoHyphens w:val="1"/>
              <w:autoSpaceDE w:val="0"/>
              <w:autoSpaceDN w:val="0"/>
              <w:spacing w:line="240" w:lineRule="exact"/>
              <w:jc w:val="right"/>
              <w:textAlignment w:val="baseline"/>
              <w:rPr>
                <w:rFonts w:hint="default" w:ascii="HG丸ｺﾞｼｯｸM-PRO" w:hAnsi="HG丸ｺﾞｼｯｸM-PRO"/>
                <w:kern w:val="0"/>
              </w:rPr>
            </w:pPr>
            <w:r>
              <w:rPr>
                <w:rFonts w:hint="eastAsia" w:ascii="HG丸ｺﾞｼｯｸM-PRO" w:hAnsi="HG丸ｺﾞｼｯｸM-PRO"/>
                <w:kern w:val="0"/>
              </w:rPr>
              <w:t>×××</w:t>
            </w:r>
          </w:p>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ＭＳ 明朝" w:hAnsi="ＭＳ 明朝"/>
                <w:kern w:val="0"/>
                <w:sz w:val="22"/>
              </w:rPr>
              <mc:AlternateContent>
                <mc:Choice Requires="wps">
                  <w:drawing>
                    <wp:anchor simplePos="0" relativeHeight="6" behindDoc="0" locked="0" layoutInCell="1" hidden="0" allowOverlap="1">
                      <wp:simplePos x="0" y="0"/>
                      <wp:positionH relativeFrom="column">
                        <wp:posOffset>1922145</wp:posOffset>
                      </wp:positionH>
                      <wp:positionV relativeFrom="paragraph">
                        <wp:posOffset>22225</wp:posOffset>
                      </wp:positionV>
                      <wp:extent cx="950595" cy="736600"/>
                      <wp:effectExtent l="255270"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950595" cy="736600"/>
                              </a:xfrm>
                              <a:prstGeom prst="wedgeRoundRectCallout">
                                <a:avLst>
                                  <a:gd name="adj1" fmla="val -76852"/>
                                  <a:gd name="adj2" fmla="val 36120"/>
                                  <a:gd name="adj3" fmla="val 16667"/>
                                </a:avLst>
                              </a:prstGeom>
                              <a:solidFill>
                                <a:srgbClr val="FFFFFF"/>
                              </a:solidFill>
                              <a:ln w="9525">
                                <a:solidFill>
                                  <a:sysClr val="windowText" lastClr="000000"/>
                                </a:solidFill>
                                <a:prstDash val="sysDot"/>
                                <a:miter/>
                              </a:ln>
                            </wps:spPr>
                            <wps:txbx>
                              <w:txbxContent>
                                <w:p>
                                  <w:pPr>
                                    <w:pStyle w:val="0"/>
                                    <w:spacing w:line="240" w:lineRule="exact"/>
                                    <w:rPr>
                                      <w:rFonts w:hint="eastAsia" w:ascii="ＭＳ 明朝" w:hAnsi="ＭＳ 明朝"/>
                                      <w:sz w:val="18"/>
                                    </w:rPr>
                                  </w:pPr>
                                  <w:r>
                                    <w:rPr>
                                      <w:rFonts w:hint="eastAsia" w:ascii="ＭＳ 明朝" w:hAnsi="ＭＳ 明朝"/>
                                      <w:sz w:val="18"/>
                                    </w:rPr>
                                    <w:t>施設等評価費用も併せて計上（計上は法人の任意）</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6" style="margin-top:1.75pt;mso-position-vertical-relative:text;mso-position-horizontal-relative:text;position:absolute;height:58pt;width:74.84pt;margin-left:151.35pt;z-index:6;" filled="t" fillcolor="#ffffff" stroked="t" strokecolor="#000000" strokeweight="0.75pt" o:spt="62" type="#_x0000_t62" adj="-5800,18602">
                      <v:fill/>
                      <v:stroke dashstyle="shortdot" filltype="solid"/>
                      <v:textbox style="layout-flow:horizontal;" inset="2.0637499999999998mm,0.24694444444444438mm,2.0637499999999998mm,0.24694444444444438mm">
                        <w:txbxContent>
                          <w:p>
                            <w:pPr>
                              <w:pStyle w:val="0"/>
                              <w:spacing w:line="240" w:lineRule="exact"/>
                              <w:rPr>
                                <w:rFonts w:hint="eastAsia" w:ascii="ＭＳ 明朝" w:hAnsi="ＭＳ 明朝"/>
                                <w:sz w:val="18"/>
                              </w:rPr>
                            </w:pPr>
                            <w:r>
                              <w:rPr>
                                <w:rFonts w:hint="eastAsia" w:ascii="ＭＳ 明朝" w:hAnsi="ＭＳ 明朝"/>
                                <w:sz w:val="18"/>
                              </w:rPr>
                              <w:t>施設等評価費用も併せて計上（計上は法人の任意）</w:t>
                            </w:r>
                          </w:p>
                        </w:txbxContent>
                      </v:textbox>
                      <v:imagedata o:title=""/>
                      <w10:wrap type="none" anchorx="text" anchory="text"/>
                    </v:shape>
                  </w:pict>
                </mc:Fallback>
              </mc:AlternateContent>
            </w:r>
            <w:r>
              <w:rPr>
                <w:rFonts w:hint="eastAsia" w:ascii="HG丸ｺﾞｼｯｸM-PRO" w:hAnsi="HG丸ｺﾞｼｯｸM-PRO"/>
                <w:kern w:val="0"/>
              </w:rPr>
              <w:t>　　　　賛助会員受取会費</w:t>
            </w:r>
          </w:p>
        </w:tc>
        <w:tc>
          <w:tcPr>
            <w:tcW w:w="144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w:t>
            </w:r>
          </w:p>
        </w:tc>
        <w:tc>
          <w:tcPr>
            <w:tcW w:w="144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２　受取寄附金</w:t>
            </w:r>
          </w:p>
        </w:tc>
        <w:tc>
          <w:tcPr>
            <w:tcW w:w="144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受取寄附金</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施設等受入評価益</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w:t>
            </w:r>
          </w:p>
        </w:tc>
        <w:tc>
          <w:tcPr>
            <w:tcW w:w="144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３　受取助成金等</w:t>
            </w:r>
          </w:p>
        </w:tc>
        <w:tc>
          <w:tcPr>
            <w:tcW w:w="144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受取民間助成金</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w:t>
            </w:r>
          </w:p>
        </w:tc>
        <w:tc>
          <w:tcPr>
            <w:tcW w:w="144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４　事業収益</w:t>
            </w:r>
          </w:p>
        </w:tc>
        <w:tc>
          <w:tcPr>
            <w:tcW w:w="144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○○事業収益</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△△事業収益</w:t>
            </w:r>
          </w:p>
        </w:tc>
        <w:tc>
          <w:tcPr>
            <w:tcW w:w="144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５　その他収益</w:t>
            </w:r>
          </w:p>
        </w:tc>
        <w:tc>
          <w:tcPr>
            <w:tcW w:w="144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受取利息</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ＭＳ 明朝" w:hAnsi="ＭＳ 明朝"/>
                <w:kern w:val="0"/>
                <w:sz w:val="22"/>
              </w:rPr>
              <mc:AlternateContent>
                <mc:Choice Requires="wps">
                  <w:drawing>
                    <wp:anchor simplePos="0" relativeHeight="2" behindDoc="0" locked="0" layoutInCell="1" hidden="0" allowOverlap="1">
                      <wp:simplePos x="0" y="0"/>
                      <wp:positionH relativeFrom="column">
                        <wp:posOffset>1402080</wp:posOffset>
                      </wp:positionH>
                      <wp:positionV relativeFrom="paragraph">
                        <wp:posOffset>66675</wp:posOffset>
                      </wp:positionV>
                      <wp:extent cx="1348105" cy="736600"/>
                      <wp:effectExtent l="22669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348105" cy="736600"/>
                              </a:xfrm>
                              <a:prstGeom prst="wedgeRoundRectCallout">
                                <a:avLst>
                                  <a:gd name="adj1" fmla="val -66722"/>
                                  <a:gd name="adj2" fmla="val 36120"/>
                                  <a:gd name="adj3" fmla="val 16667"/>
                                </a:avLst>
                              </a:prstGeom>
                              <a:solidFill>
                                <a:srgbClr val="FFFFFF"/>
                              </a:solidFill>
                              <a:ln w="9525">
                                <a:solidFill>
                                  <a:sysClr val="windowText" lastClr="000000"/>
                                </a:solidFill>
                                <a:prstDash val="sysDot"/>
                                <a:miter/>
                              </a:ln>
                            </wps:spPr>
                            <wps:txbx>
                              <w:txbxContent>
                                <w:p>
                                  <w:pPr>
                                    <w:pStyle w:val="0"/>
                                    <w:rPr>
                                      <w:rFonts w:hint="eastAsia"/>
                                      <w:sz w:val="18"/>
                                    </w:rPr>
                                  </w:pPr>
                                  <w:r>
                                    <w:rPr>
                                      <w:rFonts w:hint="eastAsia"/>
                                      <w:sz w:val="18"/>
                                    </w:rPr>
                                    <w:t>人件費とその他経費に分けた上で、</w:t>
                                  </w:r>
                                  <w:r>
                                    <w:rPr>
                                      <w:rFonts w:hint="eastAsia" w:ascii="ＭＳ 明朝" w:hAnsi="ＭＳ 明朝"/>
                                      <w:sz w:val="18"/>
                                    </w:rPr>
                                    <w:t>費用</w:t>
                                  </w:r>
                                  <w:r>
                                    <w:rPr>
                                      <w:rFonts w:hint="eastAsia"/>
                                      <w:sz w:val="18"/>
                                    </w:rPr>
                                    <w:t>の形態別に内訳を記載</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7" style="margin-top:5.25pt;mso-position-vertical-relative:text;mso-position-horizontal-relative:text;position:absolute;height:58pt;width:106.15pt;margin-left:110.4pt;z-index:2;" filled="t" fillcolor="#ffffff" stroked="t" strokecolor="#000000" strokeweight="0.75pt" o:spt="62" type="#_x0000_t62" adj="-3612,18602">
                      <v:fill/>
                      <v:stroke dashstyle="shortdot" filltype="solid"/>
                      <v:textbox style="layout-flow:horizontal;" inset="2.0637499999999998mm,0.24694444444444438mm,2.0637499999999998mm,0.24694444444444438mm">
                        <w:txbxContent>
                          <w:p>
                            <w:pPr>
                              <w:pStyle w:val="0"/>
                              <w:rPr>
                                <w:rFonts w:hint="eastAsia"/>
                                <w:sz w:val="18"/>
                              </w:rPr>
                            </w:pPr>
                            <w:r>
                              <w:rPr>
                                <w:rFonts w:hint="eastAsia"/>
                                <w:sz w:val="18"/>
                              </w:rPr>
                              <w:t>人件費とその他経費に分けた上で、</w:t>
                            </w:r>
                            <w:r>
                              <w:rPr>
                                <w:rFonts w:hint="eastAsia" w:ascii="ＭＳ 明朝" w:hAnsi="ＭＳ 明朝"/>
                                <w:sz w:val="18"/>
                              </w:rPr>
                              <w:t>費用</w:t>
                            </w:r>
                            <w:r>
                              <w:rPr>
                                <w:rFonts w:hint="eastAsia"/>
                                <w:sz w:val="18"/>
                              </w:rPr>
                              <w:t>の形態別に内訳を記載</w:t>
                            </w:r>
                          </w:p>
                        </w:txbxContent>
                      </v:textbox>
                      <v:imagedata o:title=""/>
                      <w10:wrap type="none" anchorx="text" anchory="text"/>
                    </v:shape>
                  </w:pict>
                </mc:Fallback>
              </mc:AlternateContent>
            </w:r>
            <w:r>
              <w:rPr>
                <w:rFonts w:hint="eastAsia" w:ascii="HG丸ｺﾞｼｯｸM-PRO" w:hAnsi="HG丸ｺﾞｼｯｸM-PRO"/>
                <w:kern w:val="0"/>
              </w:rPr>
              <w:t>　　　　雑収益</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w:t>
            </w:r>
          </w:p>
        </w:tc>
        <w:tc>
          <w:tcPr>
            <w:tcW w:w="144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4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4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経常収益計</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Ⅱ　経常費用</w:t>
            </w:r>
          </w:p>
        </w:tc>
        <w:tc>
          <w:tcPr>
            <w:tcW w:w="144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4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4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１　事業費</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w:t>
            </w:r>
            <w:r>
              <w:rPr>
                <w:rFonts w:hint="eastAsia" w:ascii="ＭＳ 明朝" w:hAnsi="ＭＳ 明朝"/>
                <w:kern w:val="0"/>
              </w:rPr>
              <w:t xml:space="preserve">  (1) </w:t>
            </w:r>
            <w:r>
              <w:rPr>
                <w:rFonts w:hint="eastAsia" w:ascii="HG丸ｺﾞｼｯｸM-PRO" w:hAnsi="HG丸ｺﾞｼｯｸM-PRO"/>
                <w:kern w:val="0"/>
              </w:rPr>
              <w:t>人件費</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給料手当</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法定福利費</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退職給付費用</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福利厚生費</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ＭＳ 明朝" w:hAnsi="ＭＳ 明朝"/>
                <w:kern w:val="0"/>
                <w:sz w:val="22"/>
              </w:rPr>
              <mc:AlternateContent>
                <mc:Choice Requires="wps">
                  <w:drawing>
                    <wp:anchor simplePos="0" relativeHeight="3" behindDoc="0" locked="0" layoutInCell="1" hidden="0" allowOverlap="1">
                      <wp:simplePos x="0" y="0"/>
                      <wp:positionH relativeFrom="column">
                        <wp:posOffset>1892300</wp:posOffset>
                      </wp:positionH>
                      <wp:positionV relativeFrom="paragraph">
                        <wp:posOffset>139700</wp:posOffset>
                      </wp:positionV>
                      <wp:extent cx="980440" cy="803275"/>
                      <wp:effectExtent l="19621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980440" cy="803275"/>
                              </a:xfrm>
                              <a:prstGeom prst="wedgeRoundRectCallout">
                                <a:avLst>
                                  <a:gd name="adj1" fmla="val -69949"/>
                                  <a:gd name="adj2" fmla="val 37273"/>
                                  <a:gd name="adj3" fmla="val 16667"/>
                                </a:avLst>
                              </a:prstGeom>
                              <a:solidFill>
                                <a:srgbClr val="FFFFFF"/>
                              </a:solidFill>
                              <a:ln w="9525">
                                <a:solidFill>
                                  <a:sysClr val="windowText" lastClr="000000"/>
                                </a:solidFill>
                                <a:prstDash val="sysDot"/>
                                <a:miter/>
                              </a:ln>
                            </wps:spPr>
                            <wps:txbx>
                              <w:txbxContent>
                                <w:p>
                                  <w:pPr>
                                    <w:pStyle w:val="0"/>
                                    <w:rPr>
                                      <w:rFonts w:hint="eastAsia"/>
                                      <w:sz w:val="18"/>
                                    </w:rPr>
                                  </w:pPr>
                                  <w:r>
                                    <w:rPr>
                                      <w:rFonts w:hint="eastAsia"/>
                                      <w:sz w:val="18"/>
                                    </w:rPr>
                                    <w:t>施設等受入評価益も併せて計上（計上は法人の任意）</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8" style="margin-top:11pt;mso-position-vertical-relative:text;mso-position-horizontal-relative:text;position:absolute;height:63.25pt;width:77.2pt;margin-left:149pt;z-index:3;" filled="t" fillcolor="#ffffff" stroked="t" strokecolor="#000000" strokeweight="0.75pt" o:spt="62" type="#_x0000_t62" adj="-4309,18851">
                      <v:fill/>
                      <v:stroke dashstyle="shortdot" filltype="solid"/>
                      <v:textbox style="layout-flow:horizontal;" inset="2.0637499999999998mm,0.24694444444444438mm,2.0637499999999998mm,0.24694444444444438mm">
                        <w:txbxContent>
                          <w:p>
                            <w:pPr>
                              <w:pStyle w:val="0"/>
                              <w:rPr>
                                <w:rFonts w:hint="eastAsia"/>
                                <w:sz w:val="18"/>
                              </w:rPr>
                            </w:pPr>
                            <w:r>
                              <w:rPr>
                                <w:rFonts w:hint="eastAsia"/>
                                <w:sz w:val="18"/>
                              </w:rPr>
                              <w:t>施設等受入評価益も併せて計上（計上は法人の任意）</w:t>
                            </w:r>
                          </w:p>
                        </w:txbxContent>
                      </v:textbox>
                      <v:imagedata o:title=""/>
                      <w10:wrap type="none" anchorx="text" anchory="text"/>
                    </v:shape>
                  </w:pict>
                </mc:Fallback>
              </mc:AlternateContent>
            </w:r>
            <w:r>
              <w:rPr>
                <w:rFonts w:hint="eastAsia" w:ascii="HG丸ｺﾞｼｯｸM-PRO" w:hAnsi="HG丸ｺﾞｼｯｸM-PRO"/>
                <w:kern w:val="0"/>
              </w:rPr>
              <w:t>　　　　　　・・・・・・・・</w:t>
            </w:r>
          </w:p>
        </w:tc>
        <w:tc>
          <w:tcPr>
            <w:tcW w:w="144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4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4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人件費計</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ＭＳ 明朝" w:hAnsi="ＭＳ 明朝"/>
                <w:kern w:val="0"/>
              </w:rPr>
            </w:pPr>
            <w:r>
              <w:rPr>
                <w:rFonts w:hint="eastAsia" w:ascii="HG丸ｺﾞｼｯｸM-PRO" w:hAnsi="HG丸ｺﾞｼｯｸM-PRO"/>
                <w:kern w:val="0"/>
              </w:rPr>
              <w:t>　</w:t>
            </w:r>
            <w:r>
              <w:rPr>
                <w:rFonts w:hint="eastAsia" w:ascii="ＭＳ 明朝" w:hAnsi="ＭＳ 明朝"/>
                <w:kern w:val="0"/>
              </w:rPr>
              <w:t>　　　</w:t>
            </w:r>
            <w:r>
              <w:rPr>
                <w:rFonts w:hint="eastAsia" w:ascii="ＭＳ 明朝" w:hAnsi="ＭＳ 明朝"/>
                <w:kern w:val="0"/>
              </w:rPr>
              <w:t xml:space="preserve">(2) </w:t>
            </w:r>
            <w:r>
              <w:rPr>
                <w:rFonts w:hint="eastAsia" w:ascii="ＭＳ 明朝" w:hAnsi="ＭＳ 明朝"/>
                <w:kern w:val="0"/>
              </w:rPr>
              <w:t>その他経費</w:t>
            </w:r>
          </w:p>
        </w:tc>
        <w:tc>
          <w:tcPr>
            <w:tcW w:w="144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4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4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会議費</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旅費交通費</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施設等評価費用</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減価償却費</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支払利息</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w:t>
            </w:r>
          </w:p>
        </w:tc>
        <w:tc>
          <w:tcPr>
            <w:tcW w:w="144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4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4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その他経費計</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ＭＳ 明朝" w:hAnsi="ＭＳ 明朝"/>
                <w:kern w:val="0"/>
                <w:sz w:val="22"/>
              </w:rPr>
              <mc:AlternateContent>
                <mc:Choice Requires="wps">
                  <w:drawing>
                    <wp:anchor simplePos="0" relativeHeight="4" behindDoc="0" locked="0" layoutInCell="1" hidden="0" allowOverlap="1">
                      <wp:simplePos x="0" y="0"/>
                      <wp:positionH relativeFrom="column">
                        <wp:posOffset>1524635</wp:posOffset>
                      </wp:positionH>
                      <wp:positionV relativeFrom="paragraph">
                        <wp:posOffset>63500</wp:posOffset>
                      </wp:positionV>
                      <wp:extent cx="1348105" cy="657225"/>
                      <wp:effectExtent l="379730"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1348105" cy="657225"/>
                              </a:xfrm>
                              <a:prstGeom prst="wedgeRoundRectCallout">
                                <a:avLst>
                                  <a:gd name="adj1" fmla="val -78028"/>
                                  <a:gd name="adj2" fmla="val -5653"/>
                                  <a:gd name="adj3" fmla="val 16667"/>
                                </a:avLst>
                              </a:prstGeom>
                              <a:solidFill>
                                <a:srgbClr val="FFFFFF"/>
                              </a:solidFill>
                              <a:ln w="9525">
                                <a:solidFill>
                                  <a:sysClr val="windowText" lastClr="000000"/>
                                </a:solidFill>
                                <a:prstDash val="sysDot"/>
                                <a:miter/>
                              </a:ln>
                            </wps:spPr>
                            <wps:txbx>
                              <w:txbxContent>
                                <w:p>
                                  <w:pPr>
                                    <w:pStyle w:val="0"/>
                                    <w:rPr>
                                      <w:rFonts w:hint="eastAsia"/>
                                      <w:sz w:val="18"/>
                                    </w:rPr>
                                  </w:pPr>
                                  <w:r>
                                    <w:rPr>
                                      <w:rFonts w:hint="eastAsia"/>
                                      <w:sz w:val="18"/>
                                    </w:rPr>
                                    <w:t>人件費とその他経費に分けた上で、</w:t>
                                  </w:r>
                                  <w:r>
                                    <w:rPr>
                                      <w:rFonts w:hint="eastAsia" w:ascii="ＭＳ 明朝" w:hAnsi="ＭＳ 明朝"/>
                                      <w:sz w:val="18"/>
                                    </w:rPr>
                                    <w:t>費用</w:t>
                                  </w:r>
                                  <w:r>
                                    <w:rPr>
                                      <w:rFonts w:hint="eastAsia"/>
                                      <w:sz w:val="18"/>
                                    </w:rPr>
                                    <w:t>の形態別に内訳を記載</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9" style="margin-top:5pt;mso-position-vertical-relative:text;mso-position-horizontal-relative:text;position:absolute;height:51.75pt;width:106.15pt;margin-left:120.05pt;z-index:4;" filled="t" fillcolor="#ffffff" stroked="t" strokecolor="#000000" strokeweight="0.75pt" o:spt="62" type="#_x0000_t62" adj="-6054,9579">
                      <v:fill/>
                      <v:stroke dashstyle="shortdot" filltype="solid"/>
                      <v:textbox style="layout-flow:horizontal;" inset="2.0637499999999998mm,0.24694444444444438mm,2.0637499999999998mm,0.24694444444444438mm">
                        <w:txbxContent>
                          <w:p>
                            <w:pPr>
                              <w:pStyle w:val="0"/>
                              <w:rPr>
                                <w:rFonts w:hint="eastAsia"/>
                                <w:sz w:val="18"/>
                              </w:rPr>
                            </w:pPr>
                            <w:r>
                              <w:rPr>
                                <w:rFonts w:hint="eastAsia"/>
                                <w:sz w:val="18"/>
                              </w:rPr>
                              <w:t>人件費とその他経費に分けた上で、</w:t>
                            </w:r>
                            <w:r>
                              <w:rPr>
                                <w:rFonts w:hint="eastAsia" w:ascii="ＭＳ 明朝" w:hAnsi="ＭＳ 明朝"/>
                                <w:sz w:val="18"/>
                              </w:rPr>
                              <w:t>費用</w:t>
                            </w:r>
                            <w:r>
                              <w:rPr>
                                <w:rFonts w:hint="eastAsia"/>
                                <w:sz w:val="18"/>
                              </w:rPr>
                              <w:t>の形態別に内訳を記載</w:t>
                            </w:r>
                          </w:p>
                        </w:txbxContent>
                      </v:textbox>
                      <v:imagedata o:title=""/>
                      <w10:wrap type="none" anchorx="text" anchory="text"/>
                    </v:shape>
                  </w:pict>
                </mc:Fallback>
              </mc:AlternateContent>
            </w:r>
            <w:r>
              <w:rPr>
                <w:rFonts w:hint="eastAsia" w:ascii="HG丸ｺﾞｼｯｸM-PRO" w:hAnsi="HG丸ｺﾞｼｯｸM-PRO"/>
                <w:kern w:val="0"/>
              </w:rPr>
              <w:t>　　　　事業費計</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２　管理費</w:t>
            </w:r>
          </w:p>
        </w:tc>
        <w:tc>
          <w:tcPr>
            <w:tcW w:w="144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4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4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w:t>
            </w:r>
            <w:r>
              <w:rPr>
                <w:rFonts w:hint="eastAsia" w:ascii="ＭＳ 明朝" w:hAnsi="ＭＳ 明朝"/>
                <w:kern w:val="0"/>
              </w:rPr>
              <w:t xml:space="preserve">  (1) </w:t>
            </w:r>
            <w:r>
              <w:rPr>
                <w:rFonts w:hint="eastAsia" w:ascii="HG丸ｺﾞｼｯｸM-PRO" w:hAnsi="HG丸ｺﾞｼｯｸM-PRO"/>
                <w:kern w:val="0"/>
              </w:rPr>
              <w:t>人件費</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役員報酬</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給料手当</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法定福利費</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退職給付費用</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福利厚生費</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w:t>
            </w:r>
          </w:p>
        </w:tc>
        <w:tc>
          <w:tcPr>
            <w:tcW w:w="144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4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4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人件費計</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w:t>
            </w:r>
            <w:r>
              <w:rPr>
                <w:rFonts w:hint="eastAsia" w:ascii="ＭＳ 明朝" w:hAnsi="ＭＳ 明朝"/>
                <w:kern w:val="0"/>
              </w:rPr>
              <w:t>　　　</w:t>
            </w:r>
            <w:r>
              <w:rPr>
                <w:rFonts w:hint="eastAsia" w:ascii="ＭＳ 明朝" w:hAnsi="ＭＳ 明朝"/>
                <w:kern w:val="0"/>
              </w:rPr>
              <w:t xml:space="preserve">(2) </w:t>
            </w:r>
            <w:r>
              <w:rPr>
                <w:rFonts w:hint="eastAsia" w:ascii="ＭＳ 明朝" w:hAnsi="ＭＳ 明朝"/>
                <w:kern w:val="0"/>
              </w:rPr>
              <w:t>その他経費</w:t>
            </w:r>
          </w:p>
        </w:tc>
        <w:tc>
          <w:tcPr>
            <w:tcW w:w="144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4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4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会議費</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旅費交通費</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減価償却費</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支払利息</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w:t>
            </w:r>
          </w:p>
        </w:tc>
        <w:tc>
          <w:tcPr>
            <w:tcW w:w="144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4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4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その他経費計</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管理費計</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経常費用計</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当期経常増減額</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Ⅲ　経常外収益</w:t>
            </w:r>
          </w:p>
        </w:tc>
        <w:tc>
          <w:tcPr>
            <w:tcW w:w="144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4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4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１　固定資産売却益</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w:t>
            </w:r>
          </w:p>
        </w:tc>
        <w:tc>
          <w:tcPr>
            <w:tcW w:w="144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4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4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経常外収益計</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Ⅳ　経常外費用</w:t>
            </w:r>
          </w:p>
        </w:tc>
        <w:tc>
          <w:tcPr>
            <w:tcW w:w="144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4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4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mc:AlternateContent>
                <mc:Choice Requires="wps">
                  <w:drawing>
                    <wp:anchor simplePos="0" relativeHeight="5" behindDoc="0" locked="0" layoutInCell="1" hidden="0" allowOverlap="1">
                      <wp:simplePos x="0" y="0"/>
                      <wp:positionH relativeFrom="column">
                        <wp:posOffset>1892300</wp:posOffset>
                      </wp:positionH>
                      <wp:positionV relativeFrom="paragraph">
                        <wp:posOffset>31750</wp:posOffset>
                      </wp:positionV>
                      <wp:extent cx="980440" cy="644525"/>
                      <wp:effectExtent l="27495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980440" cy="644525"/>
                              </a:xfrm>
                              <a:prstGeom prst="wedgeRoundRectCallout">
                                <a:avLst>
                                  <a:gd name="adj1" fmla="val -77981"/>
                                  <a:gd name="adj2" fmla="val 26255"/>
                                  <a:gd name="adj3" fmla="val 16667"/>
                                </a:avLst>
                              </a:prstGeom>
                              <a:solidFill>
                                <a:srgbClr val="FFFFFF"/>
                              </a:solidFill>
                              <a:ln w="9525">
                                <a:solidFill>
                                  <a:sysClr val="windowText" lastClr="000000"/>
                                </a:solidFill>
                                <a:prstDash val="sysDot"/>
                                <a:miter/>
                              </a:ln>
                            </wps:spPr>
                            <wps:txbx>
                              <w:txbxContent>
                                <w:p>
                                  <w:pPr>
                                    <w:pStyle w:val="0"/>
                                    <w:rPr>
                                      <w:rFonts w:hint="eastAsia"/>
                                      <w:sz w:val="18"/>
                                    </w:rPr>
                                  </w:pPr>
                                  <w:r>
                                    <w:rPr>
                                      <w:rFonts w:hint="eastAsia"/>
                                      <w:sz w:val="18"/>
                                    </w:rPr>
                                    <w:t>その他の事業で得た利益の振替額</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0" style="margin-top:2.5pt;mso-position-vertical-relative:text;mso-position-horizontal-relative:text;position:absolute;height:50.75pt;width:77.2pt;margin-left:149pt;z-index:5;" filled="t" fillcolor="#ffffff" stroked="t" strokecolor="#000000" strokeweight="0.75pt" o:spt="62" type="#_x0000_t62" adj="-6044,16471">
                      <v:fill/>
                      <v:stroke dashstyle="shortdot" filltype="solid"/>
                      <v:textbox style="layout-flow:horizontal;" inset="2.0637499999999998mm,0.24694444444444438mm,2.0637499999999998mm,0.24694444444444438mm">
                        <w:txbxContent>
                          <w:p>
                            <w:pPr>
                              <w:pStyle w:val="0"/>
                              <w:rPr>
                                <w:rFonts w:hint="eastAsia"/>
                                <w:sz w:val="18"/>
                              </w:rPr>
                            </w:pPr>
                            <w:r>
                              <w:rPr>
                                <w:rFonts w:hint="eastAsia"/>
                                <w:sz w:val="18"/>
                              </w:rPr>
                              <w:t>その他の事業で得た利益の振替額</w:t>
                            </w:r>
                          </w:p>
                        </w:txbxContent>
                      </v:textbox>
                      <v:imagedata o:title=""/>
                      <w10:wrap type="none" anchorx="text" anchory="text"/>
                    </v:shape>
                  </w:pict>
                </mc:Fallback>
              </mc:AlternateContent>
            </w:r>
            <w:r>
              <w:rPr>
                <w:rFonts w:hint="eastAsia" w:ascii="HG丸ｺﾞｼｯｸM-PRO" w:hAnsi="HG丸ｺﾞｼｯｸM-PRO"/>
                <w:kern w:val="0"/>
              </w:rPr>
              <w:t>　　１　過年度損益修正損</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47"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w:t>
            </w:r>
          </w:p>
        </w:tc>
        <w:tc>
          <w:tcPr>
            <w:tcW w:w="144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4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4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経常外費用計</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経理区分振替額</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4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当期正味財産増減額</w:t>
            </w:r>
          </w:p>
        </w:tc>
        <w:tc>
          <w:tcPr>
            <w:tcW w:w="1447" w:type="dxa"/>
            <w:tcBorders>
              <w:top w:val="single" w:color="auto" w:sz="4" w:space="0"/>
              <w:left w:val="none" w:color="auto" w:sz="0" w:space="0"/>
              <w:bottom w:val="doub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47" w:type="dxa"/>
            <w:tcBorders>
              <w:top w:val="single" w:color="auto" w:sz="4" w:space="0"/>
              <w:left w:val="none" w:color="auto" w:sz="0" w:space="0"/>
              <w:bottom w:val="doub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c>
          <w:tcPr>
            <w:tcW w:w="1447"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r>
      <w:tr>
        <w:trPr/>
        <w:tc>
          <w:tcPr>
            <w:tcW w:w="4923" w:type="dxa"/>
            <w:tcBorders>
              <w:top w:val="nil"/>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前期繰越正味財産額</w:t>
            </w:r>
          </w:p>
        </w:tc>
        <w:tc>
          <w:tcPr>
            <w:tcW w:w="1447" w:type="dxa"/>
            <w:tcBorders>
              <w:top w:val="double" w:color="auto" w:sz="4" w:space="0"/>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47" w:type="dxa"/>
            <w:tcBorders>
              <w:top w:val="double" w:color="auto" w:sz="4" w:space="0"/>
              <w:left w:val="none" w:color="auto" w:sz="0" w:space="0"/>
              <w:bottom w:val="nil"/>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47"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r>
      <w:tr>
        <w:trPr/>
        <w:tc>
          <w:tcPr>
            <w:tcW w:w="4923"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left"/>
              <w:textAlignment w:val="baseline"/>
              <w:rPr>
                <w:rFonts w:hint="eastAsia" w:ascii="HG丸ｺﾞｼｯｸM-PRO" w:hAnsi="HG丸ｺﾞｼｯｸM-PRO"/>
                <w:kern w:val="0"/>
              </w:rPr>
            </w:pPr>
            <w:r>
              <w:rPr>
                <w:rFonts w:hint="eastAsia" w:ascii="HG丸ｺﾞｼｯｸM-PRO" w:hAnsi="HG丸ｺﾞｼｯｸM-PRO"/>
                <w:kern w:val="0"/>
              </w:rPr>
              <w:t>　　　　次期繰越正味財産額</w:t>
            </w:r>
          </w:p>
        </w:tc>
        <w:tc>
          <w:tcPr>
            <w:tcW w:w="144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4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p>
        </w:tc>
        <w:tc>
          <w:tcPr>
            <w:tcW w:w="1447" w:type="dxa"/>
            <w:tcBorders>
              <w:top w:val="single" w:color="auto" w:sz="4" w:space="0"/>
              <w:left w:val="none" w:color="auto" w:sz="0" w:space="0"/>
              <w:bottom w:val="double" w:color="auto" w:sz="4" w:space="0"/>
              <w:right w:val="none" w:color="auto" w:sz="0" w:space="0"/>
              <w:tl2br w:val="none" w:color="auto" w:sz="0" w:space="0"/>
              <w:tr2bl w:val="none" w:color="auto" w:sz="0" w:space="0"/>
            </w:tcBorders>
            <w:vAlign w:val="top"/>
          </w:tcPr>
          <w:p>
            <w:pPr>
              <w:pStyle w:val="0"/>
              <w:suppressAutoHyphens w:val="1"/>
              <w:autoSpaceDE w:val="0"/>
              <w:autoSpaceDN w:val="0"/>
              <w:spacing w:line="240" w:lineRule="exact"/>
              <w:jc w:val="right"/>
              <w:textAlignment w:val="baseline"/>
              <w:rPr>
                <w:rFonts w:hint="eastAsia" w:ascii="HG丸ｺﾞｼｯｸM-PRO" w:hAnsi="HG丸ｺﾞｼｯｸM-PRO"/>
                <w:kern w:val="0"/>
              </w:rPr>
            </w:pPr>
            <w:r>
              <w:rPr>
                <w:rFonts w:hint="eastAsia" w:ascii="HG丸ｺﾞｼｯｸM-PRO" w:hAnsi="HG丸ｺﾞｼｯｸM-PRO"/>
                <w:kern w:val="0"/>
              </w:rPr>
              <w:t>×××</w:t>
            </w:r>
          </w:p>
        </w:tc>
      </w:tr>
    </w:tbl>
    <w:p>
      <w:pPr>
        <w:pStyle w:val="0"/>
        <w:rPr>
          <w:rFonts w:hint="default" w:ascii="HG丸ｺﾞｼｯｸM-PRO" w:hAnsi="HG丸ｺﾞｼｯｸM-PRO" w:eastAsia="HG丸ｺﾞｼｯｸM-PRO"/>
          <w:kern w:val="0"/>
          <w:sz w:val="22"/>
        </w:rPr>
      </w:pPr>
      <w:r>
        <w:rPr>
          <w:rFonts w:hint="eastAsia" w:ascii="HG丸ｺﾞｼｯｸM-PRO" w:hAnsi="HG丸ｺﾞｼｯｸM-PRO"/>
          <w:kern w:val="0"/>
        </w:rPr>
        <w:t>　（備考）</w:t>
      </w:r>
    </w:p>
    <w:p>
      <w:pPr>
        <w:pStyle w:val="0"/>
        <w:suppressAutoHyphens w:val="1"/>
        <w:wordWrap w:val="0"/>
        <w:autoSpaceDE w:val="0"/>
        <w:autoSpaceDN w:val="0"/>
        <w:jc w:val="left"/>
        <w:textAlignment w:val="baseline"/>
        <w:rPr>
          <w:rFonts w:hint="eastAsia" w:ascii="HG丸ｺﾞｼｯｸM-PRO" w:hAnsi="HG丸ｺﾞｼｯｸM-PRO"/>
          <w:kern w:val="0"/>
        </w:rPr>
      </w:pPr>
      <w:r>
        <w:rPr>
          <w:rFonts w:hint="eastAsia" w:ascii="HG丸ｺﾞｼｯｸM-PRO" w:hAnsi="HG丸ｺﾞｼｯｸM-PRO"/>
          <w:kern w:val="0"/>
        </w:rPr>
        <w:t>　　１　用紙の大きさは、日本産業規格Ａ列４番とする。</w:t>
      </w:r>
    </w:p>
    <w:p>
      <w:pPr>
        <w:pStyle w:val="0"/>
        <w:suppressAutoHyphens w:val="1"/>
        <w:wordWrap w:val="0"/>
        <w:autoSpaceDE w:val="0"/>
        <w:autoSpaceDN w:val="0"/>
        <w:ind w:left="579" w:hanging="579" w:hangingChars="300"/>
        <w:jc w:val="left"/>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rPr>
        <w:t>　　２　設立当初の事業年度及び翌事業年度の活動予算書はそれぞれ別に作成する。なお、設立当初の活動予算書は、設立認証申請予定日のおおむね３か月後から事業年度末までの期間について記載する。</w:t>
      </w:r>
    </w:p>
    <w:p>
      <w:pPr>
        <w:pStyle w:val="0"/>
        <w:suppressAutoHyphens w:val="1"/>
        <w:wordWrap w:val="0"/>
        <w:autoSpaceDE w:val="0"/>
        <w:autoSpaceDN w:val="0"/>
        <w:spacing w:line="280" w:lineRule="exact"/>
        <w:ind w:left="579" w:hanging="579" w:hangingChars="300"/>
        <w:jc w:val="left"/>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rPr>
        <w:t>　　３　定款上、「その他の事業」に関する事項を定めている場合で、その他の事業を実施していないときは、「その他の事業」欄の数字をすべてゼロとするか、</w:t>
      </w:r>
      <w:r>
        <w:rPr>
          <w:rFonts w:hint="eastAsia" w:ascii="ＭＳ 明朝" w:hAnsi="ＭＳ 明朝"/>
          <w:kern w:val="0"/>
        </w:rPr>
        <w:t>20</w:t>
      </w:r>
      <w:r>
        <w:rPr>
          <w:rFonts w:hint="eastAsia" w:ascii="ＭＳ 明朝" w:hAnsi="ＭＳ 明朝"/>
          <w:kern w:val="0"/>
        </w:rPr>
        <w:t>頁～</w:t>
      </w:r>
      <w:r>
        <w:rPr>
          <w:rFonts w:hint="eastAsia" w:ascii="ＭＳ 明朝" w:hAnsi="ＭＳ 明朝"/>
          <w:kern w:val="0"/>
        </w:rPr>
        <w:t>21</w:t>
      </w:r>
      <w:r>
        <w:rPr>
          <w:rFonts w:hint="eastAsia" w:ascii="ＭＳ 明朝" w:hAnsi="ＭＳ 明朝"/>
          <w:kern w:val="0"/>
        </w:rPr>
        <w:t>頁</w:t>
      </w:r>
      <w:r>
        <w:rPr>
          <w:rFonts w:hint="eastAsia" w:ascii="HG丸ｺﾞｼｯｸM-PRO" w:hAnsi="HG丸ｺﾞｼｯｸM-PRO"/>
          <w:kern w:val="0"/>
        </w:rPr>
        <w:t>の作成例を使い、脚注に「※今年度はその他の事業の実施を予定していません。」と明記する。</w:t>
      </w:r>
    </w:p>
    <w:p>
      <w:pPr>
        <w:pStyle w:val="0"/>
        <w:suppressAutoHyphens w:val="1"/>
        <w:wordWrap w:val="0"/>
        <w:autoSpaceDE w:val="0"/>
        <w:autoSpaceDN w:val="0"/>
        <w:ind w:left="579" w:hanging="579" w:hangingChars="300"/>
        <w:jc w:val="left"/>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rPr>
        <w:t>　　４　その他の事業から収益が生じる場合には、その他の事業会計から特定非営利活動に係る事業会計への繰入が明らかになるような科目として「経理区分振替額」を追加する。</w:t>
      </w:r>
    </w:p>
    <w:p>
      <w:pPr>
        <w:pStyle w:val="0"/>
        <w:suppressAutoHyphens w:val="1"/>
        <w:wordWrap w:val="0"/>
        <w:autoSpaceDE w:val="0"/>
        <w:autoSpaceDN w:val="0"/>
        <w:ind w:left="579" w:hanging="579" w:hangingChars="300"/>
        <w:jc w:val="left"/>
        <w:textAlignment w:val="baseline"/>
        <w:rPr>
          <w:rFonts w:hint="eastAsia" w:ascii="HG丸ｺﾞｼｯｸM-PRO" w:hAnsi="HG丸ｺﾞｼｯｸM-PRO"/>
          <w:kern w:val="0"/>
        </w:rPr>
      </w:pPr>
      <w:r>
        <w:rPr>
          <w:rFonts w:hint="eastAsia" w:ascii="HG丸ｺﾞｼｯｸM-PRO" w:hAnsi="HG丸ｺﾞｼｯｸM-PRO"/>
          <w:kern w:val="0"/>
        </w:rPr>
        <w:t>　　５　設立時の資金がある場合は、設立当初の事業年度に設立時正味財産額としてその額を記載する。翌事業年度以降は、前年度の活動予算書に次期繰越正味財産額として掲げた額を、前期繰越正味財産額として記載する。</w:t>
      </w:r>
    </w:p>
    <w:p>
      <w:pPr>
        <w:pStyle w:val="0"/>
        <w:suppressAutoHyphens w:val="1"/>
        <w:wordWrap w:val="0"/>
        <w:autoSpaceDE w:val="0"/>
        <w:autoSpaceDN w:val="0"/>
        <w:ind w:left="579" w:hanging="579" w:hangingChars="300"/>
        <w:jc w:val="left"/>
        <w:textAlignment w:val="baseline"/>
        <w:rPr>
          <w:rFonts w:hint="eastAsia" w:ascii="HG丸ｺﾞｼｯｸM-PRO" w:hAnsi="HG丸ｺﾞｼｯｸM-PRO"/>
          <w:kern w:val="0"/>
        </w:rPr>
      </w:pPr>
      <w:r>
        <w:rPr>
          <w:rFonts w:hint="eastAsia" w:ascii="HG丸ｺﾞｼｯｸM-PRO" w:hAnsi="HG丸ｺﾞｼｯｸM-PRO"/>
          <w:kern w:val="0"/>
        </w:rPr>
        <w:t>　　６　「事業費」とは、法人の事業の実施のために直接要する費用で、管理費以外のものをいい、当該事業の実施のために直接要する人件費、交通費等の費用が含まれる。）等が挙げられる。なお、事業計画書に記載している内容との整合性を図る。</w:t>
      </w:r>
    </w:p>
    <w:p>
      <w:pPr>
        <w:pStyle w:val="0"/>
        <w:suppressAutoHyphens w:val="1"/>
        <w:wordWrap w:val="0"/>
        <w:autoSpaceDE w:val="0"/>
        <w:autoSpaceDN w:val="0"/>
        <w:ind w:left="579" w:hanging="579" w:hangingChars="300"/>
        <w:jc w:val="left"/>
        <w:textAlignment w:val="baseline"/>
        <w:rPr>
          <w:rFonts w:hint="default" w:ascii="HG丸ｺﾞｼｯｸM-PRO" w:hAnsi="HG丸ｺﾞｼｯｸM-PRO" w:eastAsia="HG丸ｺﾞｼｯｸM-PRO"/>
          <w:kern w:val="0"/>
          <w:sz w:val="22"/>
        </w:rPr>
      </w:pPr>
      <w:r>
        <w:rPr>
          <w:rFonts w:hint="eastAsia" w:ascii="HG丸ｺﾞｼｯｸM-PRO" w:hAnsi="HG丸ｺﾞｼｯｸM-PRO"/>
          <w:kern w:val="0"/>
        </w:rPr>
        <w:t>　　７　特に、費用規模（事業費＋管理費）でみた特定非営利活動に係る事業の割合、総費用に占める管理費の割合等は、特定非営利活動を行うことを主たる目的とすること、営利を目的としないものであることという法定要件への適合性の判断材料となる。（この点については、「北海道におけるＮＰＯ法の運用方針」</w:t>
      </w:r>
      <w:r>
        <w:rPr>
          <w:rFonts w:hint="eastAsia" w:ascii="ＭＳ 明朝" w:hAnsi="ＭＳ 明朝"/>
          <w:kern w:val="0"/>
        </w:rPr>
        <w:t>（</w:t>
      </w:r>
      <w:r>
        <w:rPr>
          <w:rFonts w:hint="eastAsia" w:ascii="ＭＳ 明朝" w:hAnsi="ＭＳ 明朝"/>
          <w:kern w:val="0"/>
        </w:rPr>
        <w:t>89</w:t>
      </w:r>
      <w:r>
        <w:rPr>
          <w:rFonts w:hint="eastAsia" w:ascii="ＭＳ 明朝" w:hAnsi="ＭＳ 明朝"/>
          <w:kern w:val="0"/>
        </w:rPr>
        <w:t>頁）を参照。）</w:t>
      </w:r>
    </w:p>
    <w:p>
      <w:pPr>
        <w:pStyle w:val="0"/>
        <w:suppressAutoHyphens w:val="1"/>
        <w:wordWrap w:val="0"/>
        <w:autoSpaceDE w:val="0"/>
        <w:autoSpaceDN w:val="0"/>
        <w:jc w:val="left"/>
        <w:textAlignment w:val="baseline"/>
        <w:rPr>
          <w:rFonts w:hint="default" w:ascii="HG丸ｺﾞｼｯｸM-PRO" w:hAnsi="HG丸ｺﾞｼｯｸM-PRO"/>
          <w:kern w:val="0"/>
          <w:sz w:val="22"/>
        </w:rPr>
      </w:pPr>
      <w:r>
        <w:rPr>
          <w:rFonts w:hint="eastAsia" w:ascii="HG丸ｺﾞｼｯｸM-PRO" w:hAnsi="HG丸ｺﾞｼｯｸM-PRO"/>
          <w:kern w:val="0"/>
          <w:sz w:val="22"/>
        </w:rPr>
        <w:t>　</w:t>
      </w:r>
    </w:p>
    <w:p>
      <w:pPr>
        <w:pStyle w:val="0"/>
        <w:suppressAutoHyphens w:val="1"/>
        <w:wordWrap w:val="0"/>
        <w:autoSpaceDE w:val="0"/>
        <w:autoSpaceDN w:val="0"/>
        <w:jc w:val="left"/>
        <w:textAlignment w:val="baseline"/>
        <w:rPr>
          <w:rFonts w:hint="default" w:ascii="HG丸ｺﾞｼｯｸM-PRO" w:hAnsi="HG丸ｺﾞｼｯｸM-PRO"/>
          <w:kern w:val="0"/>
          <w:sz w:val="22"/>
        </w:rPr>
      </w:pPr>
      <w:r>
        <w:rPr>
          <w:rFonts w:hint="eastAsia" w:ascii="HG丸ｺﾞｼｯｸM-PRO" w:hAnsi="HG丸ｺﾞｼｯｸM-PRO"/>
          <w:kern w:val="0"/>
          <w:sz w:val="22"/>
        </w:rPr>
        <w:t>　　※　この書面は、申請受理後２週</w:t>
      </w:r>
      <w:bookmarkStart w:id="0" w:name="_GoBack"/>
      <w:bookmarkEnd w:id="0"/>
      <w:r>
        <w:rPr>
          <w:rFonts w:hint="eastAsia" w:ascii="HG丸ｺﾞｼｯｸM-PRO" w:hAnsi="HG丸ｺﾞｼｯｸM-PRO"/>
          <w:kern w:val="0"/>
          <w:sz w:val="22"/>
        </w:rPr>
        <w:t>間、縦覧されます。</w:t>
      </w:r>
    </w:p>
    <w:p>
      <w:pPr>
        <w:pStyle w:val="0"/>
        <w:rPr>
          <w:rFonts w:hint="eastAsia" w:ascii="HG丸ｺﾞｼｯｸM-PRO" w:hAnsi="HG丸ｺﾞｼｯｸM-PRO"/>
          <w:kern w:val="0"/>
        </w:rPr>
      </w:pPr>
    </w:p>
    <w:p>
      <w:pPr>
        <w:pStyle w:val="0"/>
        <w:suppressAutoHyphens w:val="1"/>
        <w:wordWrap w:val="0"/>
        <w:autoSpaceDE w:val="0"/>
        <w:autoSpaceDN w:val="0"/>
        <w:spacing w:line="298" w:lineRule="exact"/>
        <w:jc w:val="left"/>
        <w:textAlignment w:val="baseline"/>
        <w:rPr>
          <w:rFonts w:hint="eastAsia"/>
          <w:kern w:val="0"/>
        </w:rPr>
      </w:pPr>
    </w:p>
    <w:sectPr>
      <w:pgSz w:w="11906" w:h="16838"/>
      <w:pgMar w:top="1021" w:right="907" w:bottom="907" w:left="1134" w:header="720" w:footer="567" w:gutter="0"/>
      <w:pgNumType w:start="1"/>
      <w:cols w:space="720"/>
      <w:noEndnote w:val="1"/>
      <w:textDirection w:val="lrTb"/>
      <w:docGrid w:type="linesAndChars" w:linePitch="286" w:charSpace="-34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Moves/>
  <w:defaultTabStop w:val="840"/>
  <w:drawingGridHorizontalSpacing w:val="193"/>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2">
    <w:name w:val="heading 2"/>
    <w:basedOn w:val="0"/>
    <w:next w:val="0"/>
    <w:link w:val="21"/>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0"/>
    <w:uiPriority w:val="0"/>
    <w:pPr>
      <w:tabs>
        <w:tab w:val="center" w:leader="none" w:pos="4252"/>
        <w:tab w:val="right" w:leader="none" w:pos="8504"/>
      </w:tabs>
      <w:snapToGrid w:val="0"/>
    </w:pPr>
  </w:style>
  <w:style w:type="character" w:styleId="18">
    <w:name w:val="Book Title"/>
    <w:next w:val="18"/>
    <w:link w:val="0"/>
    <w:uiPriority w:val="0"/>
    <w:qFormat/>
    <w:rPr>
      <w:rFonts w:eastAsia="ＭＳ 明朝"/>
      <w:smallCaps w:val="1"/>
      <w:spacing w:val="5"/>
      <w:sz w:val="21"/>
    </w:rPr>
  </w:style>
  <w:style w:type="paragraph" w:styleId="19">
    <w:name w:val="Plain Text"/>
    <w:basedOn w:val="0"/>
    <w:next w:val="19"/>
    <w:link w:val="20"/>
    <w:uiPriority w:val="0"/>
    <w:rPr>
      <w:rFonts w:ascii="ＭＳ 明朝" w:hAnsi="ＭＳ 明朝"/>
    </w:rPr>
  </w:style>
  <w:style w:type="character" w:styleId="20" w:customStyle="1">
    <w:name w:val="書式なし (文字)"/>
    <w:next w:val="20"/>
    <w:link w:val="19"/>
    <w:uiPriority w:val="0"/>
    <w:rPr>
      <w:rFonts w:ascii="ＭＳ 明朝" w:hAnsi="ＭＳ 明朝"/>
      <w:kern w:val="2"/>
      <w:sz w:val="21"/>
    </w:rPr>
  </w:style>
  <w:style w:type="character" w:styleId="21" w:customStyle="1">
    <w:name w:val="見出し 2 (文字)"/>
    <w:next w:val="21"/>
    <w:link w:val="2"/>
    <w:uiPriority w:val="0"/>
    <w:rPr>
      <w:rFonts w:ascii="Arial" w:hAnsi="Arial" w:eastAsia="ＭＳ ゴシック"/>
      <w:kern w:val="2"/>
      <w:sz w:val="21"/>
    </w:rPr>
  </w:style>
  <w:style w:type="paragraph" w:styleId="22">
    <w:name w:val="List Paragraph"/>
    <w:basedOn w:val="0"/>
    <w:next w:val="22"/>
    <w:link w:val="0"/>
    <w:uiPriority w:val="0"/>
    <w:qFormat/>
    <w:pPr>
      <w:ind w:left="840" w:leftChars="400"/>
    </w:pPr>
  </w:style>
  <w:style w:type="paragraph" w:styleId="23">
    <w:name w:val="Note Heading"/>
    <w:basedOn w:val="0"/>
    <w:next w:val="0"/>
    <w:link w:val="24"/>
    <w:uiPriority w:val="0"/>
    <w:pPr>
      <w:jc w:val="center"/>
    </w:pPr>
    <w:rPr>
      <w:rFonts w:ascii="ＭＳ 明朝" w:hAnsi="ＭＳ 明朝"/>
      <w:color w:val="000000"/>
      <w:kern w:val="0"/>
    </w:rPr>
  </w:style>
  <w:style w:type="character" w:styleId="24" w:customStyle="1">
    <w:name w:val="記 (文字)"/>
    <w:next w:val="24"/>
    <w:link w:val="23"/>
    <w:uiPriority w:val="0"/>
    <w:rPr>
      <w:rFonts w:ascii="ＭＳ 明朝" w:hAnsi="ＭＳ 明朝"/>
      <w:color w:val="000000"/>
      <w:sz w:val="21"/>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next w:val="26"/>
    <w:link w:val="25"/>
    <w:uiPriority w:val="0"/>
    <w:rPr>
      <w:rFonts w:ascii="Arial" w:hAnsi="Arial" w:eastAsia="ＭＳ ゴシック"/>
      <w:kern w:val="2"/>
      <w:sz w:val="18"/>
    </w:rPr>
  </w:style>
  <w:style w:type="paragraph" w:styleId="27" w:customStyle="1">
    <w:name w:val="Default"/>
    <w:next w:val="27"/>
    <w:link w:val="0"/>
    <w:uiPriority w:val="0"/>
    <w:pPr>
      <w:widowControl w:val="0"/>
      <w:autoSpaceDE w:val="0"/>
      <w:autoSpaceDN w:val="0"/>
      <w:adjustRightInd w:val="0"/>
    </w:pPr>
    <w:rPr>
      <w:rFonts w:ascii="HG丸ｺﾞｼｯｸM-PRO" w:hAnsi="HG丸ｺﾞｼｯｸM-PRO" w:eastAsia="HG丸ｺﾞｼｯｸM-PRO"/>
      <w:color w:val="000000"/>
      <w:sz w:val="24"/>
    </w:rPr>
  </w:style>
  <w:style w:type="character" w:styleId="28">
    <w:name w:val="Hyperlink"/>
    <w:next w:val="28"/>
    <w:link w:val="0"/>
    <w:uiPriority w:val="0"/>
    <w:rPr>
      <w:color w:val="0563C1"/>
      <w:u w:val="single"/>
    </w:rPr>
  </w:style>
  <w:style w:type="character" w:styleId="29">
    <w:name w:val="FollowedHyperlink"/>
    <w:next w:val="29"/>
    <w:link w:val="0"/>
    <w:uiPriority w:val="0"/>
    <w:rPr>
      <w:color w:val="954F72"/>
      <w:u w:val="single"/>
    </w:rPr>
  </w:style>
  <w:style w:type="paragraph" w:styleId="30" w:customStyle="1">
    <w:name w:val="スタイル1"/>
    <w:basedOn w:val="0"/>
    <w:next w:val="30"/>
    <w:link w:val="31"/>
    <w:uiPriority w:val="0"/>
    <w:qFormat/>
    <w:pPr>
      <w:jc w:val="left"/>
    </w:pPr>
    <w:rPr>
      <w:rFonts w:ascii="HG丸ｺﾞｼｯｸM-PRO" w:hAnsi="HG丸ｺﾞｼｯｸM-PRO" w:eastAsia="HG丸ｺﾞｼｯｸM-PRO"/>
      <w:b w:val="1"/>
      <w:sz w:val="24"/>
    </w:rPr>
  </w:style>
  <w:style w:type="character" w:styleId="31" w:customStyle="1">
    <w:name w:val="スタイル1 (文字)"/>
    <w:next w:val="31"/>
    <w:link w:val="30"/>
    <w:uiPriority w:val="0"/>
    <w:rPr>
      <w:rFonts w:ascii="HG丸ｺﾞｼｯｸM-PRO" w:hAnsi="HG丸ｺﾞｼｯｸM-PRO" w:eastAsia="HG丸ｺﾞｼｯｸM-PRO"/>
      <w:b w:val="1"/>
      <w:kern w:val="2"/>
      <w:sz w:val="24"/>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2</Pages>
  <Words>7</Words>
  <Characters>1587</Characters>
  <Application>JUST Note</Application>
  <Lines>379</Lines>
  <Paragraphs>209</Paragraphs>
  <Company>Hewlett-Packard Co.</Company>
  <CharactersWithSpaces>1939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特定非営利活動法人の手引</dc:title>
  <dc:creator>HP Customer</dc:creator>
  <cp:lastModifiedBy>shiminkatsudo059</cp:lastModifiedBy>
  <cp:lastPrinted>2017-06-22T00:43:00Z</cp:lastPrinted>
  <dcterms:created xsi:type="dcterms:W3CDTF">2018-02-06T05:55:00Z</dcterms:created>
  <dcterms:modified xsi:type="dcterms:W3CDTF">2020-04-02T10:17:43Z</dcterms:modified>
  <cp:revision>5</cp:revision>
</cp:coreProperties>
</file>