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94" w:lineRule="exact"/>
        <w:jc w:val="center"/>
        <w:rPr>
          <w:rFonts w:hint="default"/>
        </w:rPr>
      </w:pPr>
      <w:r>
        <w:rPr>
          <w:rFonts w:hint="eastAsia"/>
          <w:sz w:val="32"/>
        </w:rPr>
        <w:t>検</w:t>
      </w:r>
      <w:r>
        <w:rPr>
          <w:rFonts w:hint="default"/>
          <w:b w:val="1"/>
          <w:sz w:val="32"/>
        </w:rPr>
        <w:t xml:space="preserve"> </w:t>
      </w:r>
      <w:r>
        <w:rPr>
          <w:rFonts w:hint="eastAsia"/>
          <w:sz w:val="32"/>
        </w:rPr>
        <w:t>査</w:t>
      </w:r>
      <w:r>
        <w:rPr>
          <w:rFonts w:hint="default"/>
          <w:b w:val="1"/>
          <w:sz w:val="32"/>
        </w:rPr>
        <w:t xml:space="preserve"> </w:t>
      </w:r>
      <w:r>
        <w:rPr>
          <w:rFonts w:hint="eastAsia"/>
          <w:sz w:val="32"/>
        </w:rPr>
        <w:t>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況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報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告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>
      <w:pPr>
        <w:pStyle w:val="0"/>
        <w:adjustRightInd w:val="1"/>
        <w:spacing w:line="280" w:lineRule="exact"/>
        <w:jc w:val="both"/>
        <w:rPr>
          <w:rFonts w:hint="default"/>
          <w:sz w:val="22"/>
        </w:rPr>
      </w:pPr>
    </w:p>
    <w:p>
      <w:pPr>
        <w:pStyle w:val="0"/>
        <w:adjustRightInd w:val="1"/>
        <w:spacing w:line="280" w:lineRule="exact"/>
        <w:jc w:val="both"/>
        <w:rPr>
          <w:rFonts w:hint="default"/>
          <w:sz w:val="22"/>
        </w:rPr>
      </w:pPr>
    </w:p>
    <w:p>
      <w:pPr>
        <w:pStyle w:val="0"/>
        <w:adjustRightInd w:val="1"/>
        <w:spacing w:line="280" w:lineRule="exact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adjustRightInd w:val="1"/>
        <w:spacing w:line="280" w:lineRule="exact"/>
        <w:rPr>
          <w:rFonts w:hint="default"/>
          <w:sz w:val="22"/>
        </w:rPr>
      </w:pPr>
    </w:p>
    <w:p>
      <w:pPr>
        <w:pStyle w:val="0"/>
        <w:adjustRightInd w:val="1"/>
        <w:spacing w:line="280" w:lineRule="exact"/>
        <w:rPr>
          <w:rFonts w:hint="default"/>
          <w:sz w:val="22"/>
        </w:rPr>
      </w:pPr>
    </w:p>
    <w:p>
      <w:pPr>
        <w:pStyle w:val="0"/>
        <w:adjustRightInd w:val="1"/>
        <w:spacing w:line="280" w:lineRule="exact"/>
        <w:jc w:val="both"/>
        <w:rPr>
          <w:rFonts w:hint="default"/>
          <w:sz w:val="22"/>
        </w:rPr>
      </w:pPr>
      <w:r>
        <w:rPr>
          <w:rFonts w:hint="eastAsia"/>
          <w:sz w:val="22"/>
        </w:rPr>
        <w:t>（あて先）　旭　川　市　長</w:t>
      </w:r>
    </w:p>
    <w:p>
      <w:pPr>
        <w:pStyle w:val="0"/>
        <w:adjustRightInd w:val="1"/>
        <w:spacing w:line="280" w:lineRule="exact"/>
        <w:rPr>
          <w:rFonts w:hint="default"/>
          <w:sz w:val="22"/>
        </w:rPr>
      </w:pPr>
    </w:p>
    <w:p>
      <w:pPr>
        <w:pStyle w:val="0"/>
        <w:adjustRightInd w:val="1"/>
        <w:spacing w:line="280" w:lineRule="exact"/>
        <w:rPr>
          <w:rFonts w:hint="default"/>
          <w:sz w:val="22"/>
        </w:rPr>
      </w:pPr>
    </w:p>
    <w:p>
      <w:pPr>
        <w:pStyle w:val="0"/>
        <w:wordWrap w:val="0"/>
        <w:spacing w:line="280" w:lineRule="exact"/>
        <w:ind w:left="0" w:leftChars="0" w:right="4" w:rightChars="0" w:firstLine="3080" w:firstLineChars="1400"/>
        <w:jc w:val="both"/>
        <w:rPr>
          <w:rFonts w:hint="default"/>
          <w:color w:val="auto"/>
          <w:kern w:val="2"/>
          <w:sz w:val="22"/>
        </w:rPr>
      </w:pPr>
      <w:r>
        <w:rPr>
          <w:rFonts w:hint="eastAsia"/>
          <w:color w:val="auto"/>
          <w:kern w:val="2"/>
          <w:sz w:val="22"/>
        </w:rPr>
        <w:t>交付決定者　住所　</w:t>
      </w:r>
    </w:p>
    <w:p>
      <w:pPr>
        <w:pStyle w:val="0"/>
        <w:wordWrap w:val="0"/>
        <w:adjustRightInd w:val="1"/>
        <w:spacing w:line="280" w:lineRule="exact"/>
        <w:ind w:left="0" w:leftChars="0" w:firstLine="4400" w:firstLineChars="2000"/>
        <w:jc w:val="both"/>
        <w:textAlignment w:val="auto"/>
        <w:rPr>
          <w:rFonts w:hint="default"/>
          <w:color w:val="auto"/>
          <w:kern w:val="2"/>
          <w:sz w:val="22"/>
        </w:rPr>
      </w:pPr>
      <w:r>
        <w:rPr>
          <w:rFonts w:hint="eastAsia"/>
          <w:color w:val="auto"/>
          <w:kern w:val="2"/>
          <w:sz w:val="22"/>
        </w:rPr>
        <w:t>氏名　</w:t>
      </w:r>
    </w:p>
    <w:p>
      <w:pPr>
        <w:pStyle w:val="0"/>
        <w:wordWrap w:val="0"/>
        <w:adjustRightInd w:val="1"/>
        <w:spacing w:line="280" w:lineRule="exact"/>
        <w:ind w:leftChars="0" w:firstLine="0" w:firstLineChars="0"/>
        <w:jc w:val="both"/>
        <w:textAlignment w:val="auto"/>
        <w:rPr>
          <w:rFonts w:hint="default"/>
          <w:color w:val="auto"/>
          <w:kern w:val="2"/>
          <w:sz w:val="22"/>
        </w:rPr>
      </w:pPr>
      <w:r>
        <w:rPr>
          <w:rFonts w:hint="eastAsia"/>
          <w:color w:val="auto"/>
          <w:kern w:val="2"/>
          <w:sz w:val="22"/>
        </w:rPr>
        <w:t>　　　　　　　　　　　　　　　　　　　　　　　</w:t>
      </w:r>
    </w:p>
    <w:p>
      <w:pPr>
        <w:pStyle w:val="0"/>
        <w:adjustRightInd w:val="1"/>
        <w:spacing w:line="280" w:lineRule="exact"/>
        <w:rPr>
          <w:rFonts w:hint="default"/>
          <w:sz w:val="22"/>
        </w:rPr>
      </w:pPr>
    </w:p>
    <w:p>
      <w:pPr>
        <w:pStyle w:val="0"/>
        <w:adjustRightInd w:val="1"/>
        <w:spacing w:line="280" w:lineRule="exact"/>
        <w:rPr>
          <w:rFonts w:hint="default"/>
          <w:sz w:val="22"/>
        </w:rPr>
      </w:pPr>
    </w:p>
    <w:p>
      <w:pPr>
        <w:pStyle w:val="0"/>
        <w:adjustRightInd w:val="1"/>
        <w:spacing w:line="280" w:lineRule="exact"/>
        <w:rPr>
          <w:rFonts w:hint="default"/>
          <w:sz w:val="22"/>
        </w:rPr>
      </w:pPr>
    </w:p>
    <w:p>
      <w:pPr>
        <w:pStyle w:val="0"/>
        <w:adjustRightInd w:val="1"/>
        <w:spacing w:line="280" w:lineRule="exact"/>
        <w:rPr>
          <w:rFonts w:hint="default"/>
          <w:sz w:val="22"/>
        </w:rPr>
      </w:pPr>
      <w:r>
        <w:rPr>
          <w:rFonts w:hint="eastAsia"/>
          <w:sz w:val="22"/>
        </w:rPr>
        <w:t>　　　　　　　事業名　　</w:t>
      </w:r>
    </w:p>
    <w:p>
      <w:pPr>
        <w:pStyle w:val="0"/>
        <w:adjustRightInd w:val="1"/>
        <w:spacing w:line="280" w:lineRule="exact"/>
        <w:rPr>
          <w:rFonts w:hint="default"/>
          <w:sz w:val="22"/>
        </w:rPr>
      </w:pPr>
    </w:p>
    <w:p>
      <w:pPr>
        <w:pStyle w:val="0"/>
        <w:adjustRightInd w:val="1"/>
        <w:spacing w:line="280" w:lineRule="exact"/>
        <w:rPr>
          <w:rFonts w:hint="default"/>
          <w:sz w:val="22"/>
        </w:rPr>
      </w:pPr>
    </w:p>
    <w:p>
      <w:pPr>
        <w:pStyle w:val="0"/>
        <w:adjustRightInd w:val="1"/>
        <w:spacing w:line="280" w:lineRule="exact"/>
        <w:rPr>
          <w:rFonts w:hint="default"/>
          <w:sz w:val="22"/>
        </w:rPr>
      </w:pPr>
    </w:p>
    <w:p>
      <w:pPr>
        <w:pStyle w:val="0"/>
        <w:adjustRightInd w:val="1"/>
        <w:spacing w:line="280" w:lineRule="exact"/>
        <w:ind w:left="0" w:leftChars="0" w:firstLine="220" w:firstLineChars="100"/>
        <w:jc w:val="both"/>
        <w:rPr>
          <w:rFonts w:hint="default"/>
          <w:sz w:val="22"/>
        </w:rPr>
      </w:pPr>
      <w:r>
        <w:rPr>
          <w:rFonts w:hint="eastAsia"/>
          <w:sz w:val="22"/>
        </w:rPr>
        <w:t>上記事業について，社内検査を実施しましたので，その結果について別紙のとおり報告します。</w:t>
      </w:r>
    </w:p>
    <w:p>
      <w:pPr>
        <w:pStyle w:val="0"/>
        <w:adjustRightInd w:val="1"/>
        <w:spacing w:line="280" w:lineRule="exact"/>
        <w:rPr>
          <w:rFonts w:hint="default"/>
          <w:sz w:val="22"/>
        </w:rPr>
      </w:pPr>
    </w:p>
    <w:p>
      <w:pPr>
        <w:pStyle w:val="0"/>
        <w:adjustRightInd w:val="1"/>
        <w:spacing w:line="280" w:lineRule="exact"/>
        <w:rPr>
          <w:rFonts w:hint="default"/>
          <w:sz w:val="22"/>
        </w:rPr>
      </w:pPr>
    </w:p>
    <w:p>
      <w:pPr>
        <w:pStyle w:val="0"/>
        <w:adjustRightInd w:val="1"/>
        <w:spacing w:line="280" w:lineRule="exact"/>
        <w:rPr>
          <w:rFonts w:hint="default"/>
          <w:sz w:val="22"/>
        </w:rPr>
      </w:pPr>
    </w:p>
    <w:p>
      <w:pPr>
        <w:pStyle w:val="0"/>
        <w:adjustRightInd w:val="1"/>
        <w:spacing w:line="280" w:lineRule="exact"/>
        <w:ind w:firstLine="3080" w:firstLineChars="1400"/>
        <w:rPr>
          <w:rFonts w:hint="default"/>
          <w:sz w:val="22"/>
        </w:rPr>
      </w:pPr>
      <w:r>
        <w:rPr>
          <w:rFonts w:hint="eastAsia"/>
          <w:sz w:val="22"/>
        </w:rPr>
        <w:t>社内検査実施日　　　　年　　月　　日</w:t>
      </w:r>
    </w:p>
    <w:p>
      <w:pPr>
        <w:pStyle w:val="0"/>
        <w:adjustRightInd w:val="1"/>
        <w:spacing w:line="280" w:lineRule="exact"/>
        <w:rPr>
          <w:rFonts w:hint="default"/>
          <w:sz w:val="22"/>
        </w:rPr>
      </w:pPr>
    </w:p>
    <w:p>
      <w:pPr>
        <w:pStyle w:val="0"/>
        <w:adjustRightInd w:val="1"/>
        <w:spacing w:line="280" w:lineRule="exact"/>
        <w:ind w:firstLine="3080" w:firstLineChars="1400"/>
        <w:rPr>
          <w:rFonts w:hint="default"/>
          <w:sz w:val="22"/>
        </w:rPr>
      </w:pPr>
      <w:r>
        <w:rPr>
          <w:rFonts w:hint="eastAsia"/>
          <w:sz w:val="22"/>
        </w:rPr>
        <w:t>検査員　</w:t>
      </w:r>
      <w:r>
        <w:rPr>
          <w:rFonts w:hint="default"/>
          <w:sz w:val="22"/>
        </w:rPr>
        <w:t xml:space="preserve">  </w:t>
      </w:r>
      <w:r>
        <w:rPr>
          <w:rFonts w:hint="eastAsia"/>
          <w:sz w:val="22"/>
        </w:rPr>
        <w:t>会社名　</w:t>
      </w:r>
    </w:p>
    <w:p>
      <w:pPr>
        <w:pStyle w:val="0"/>
        <w:adjustRightInd w:val="1"/>
        <w:spacing w:line="280" w:lineRule="exact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0" behindDoc="0" locked="1" layoutInCell="1" hidden="0" allowOverlap="1">
                <wp:simplePos x="0" y="0"/>
                <wp:positionH relativeFrom="column">
                  <wp:posOffset>5091430</wp:posOffset>
                </wp:positionH>
                <wp:positionV relativeFrom="paragraph">
                  <wp:posOffset>-103505</wp:posOffset>
                </wp:positionV>
                <wp:extent cx="323850" cy="3905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23850" cy="390525"/>
                        </a:xfrm>
                        <a:prstGeom prst="rect"/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right:5.65pt;mso-wrap-distance-bottom:0pt;margin-top:-8.15pt;mso-position-vertical-relative:text;mso-position-horizontal-relative:text;position:absolute;height:30.75pt;mso-wrap-distance-top:0pt;width:25.5pt;mso-wrap-distance-left:5.65pt;margin-left:400.9pt;z-index:110;" o:allowincell="t" o:allowoverlap="t" filled="f" stroked="f" strokecolor="#000000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default"/>
          <w:sz w:val="22"/>
        </w:rPr>
        <w:t xml:space="preserve">                                    </w:t>
      </w:r>
      <w:r>
        <w:rPr>
          <w:rFonts w:hint="eastAsia"/>
          <w:sz w:val="22"/>
        </w:rPr>
        <w:t>　氏　名　</w:t>
      </w:r>
    </w:p>
    <w:p>
      <w:pPr>
        <w:pStyle w:val="0"/>
        <w:adjustRightInd w:val="1"/>
        <w:spacing w:line="280" w:lineRule="exact"/>
        <w:rPr>
          <w:rFonts w:hint="default"/>
          <w:sz w:val="22"/>
        </w:rPr>
      </w:pPr>
    </w:p>
    <w:p>
      <w:pPr>
        <w:pStyle w:val="0"/>
        <w:adjustRightInd w:val="1"/>
        <w:spacing w:line="280" w:lineRule="exact"/>
        <w:rPr>
          <w:rFonts w:hint="default"/>
          <w:sz w:val="22"/>
        </w:rPr>
      </w:pPr>
    </w:p>
    <w:p>
      <w:pPr>
        <w:pStyle w:val="0"/>
        <w:adjustRightInd w:val="1"/>
        <w:spacing w:line="280" w:lineRule="exact"/>
        <w:rPr>
          <w:rFonts w:hint="default"/>
          <w:sz w:val="22"/>
        </w:rPr>
      </w:pPr>
    </w:p>
    <w:p>
      <w:pPr>
        <w:pStyle w:val="0"/>
        <w:adjustRightInd w:val="1"/>
        <w:spacing w:line="280" w:lineRule="exact"/>
        <w:rPr>
          <w:rFonts w:hint="default"/>
          <w:sz w:val="22"/>
        </w:rPr>
      </w:pPr>
    </w:p>
    <w:p>
      <w:pPr>
        <w:pStyle w:val="0"/>
        <w:adjustRightInd w:val="1"/>
        <w:spacing w:line="280" w:lineRule="exact"/>
        <w:rPr>
          <w:rFonts w:hint="default"/>
          <w:sz w:val="22"/>
        </w:rPr>
      </w:pPr>
    </w:p>
    <w:p>
      <w:pPr>
        <w:pStyle w:val="0"/>
        <w:adjustRightInd w:val="1"/>
        <w:spacing w:line="280" w:lineRule="exact"/>
        <w:rPr>
          <w:rFonts w:hint="default"/>
          <w:sz w:val="22"/>
        </w:rPr>
      </w:pPr>
    </w:p>
    <w:p>
      <w:pPr>
        <w:pStyle w:val="0"/>
        <w:adjustRightInd w:val="1"/>
        <w:spacing w:line="280" w:lineRule="exact"/>
        <w:rPr>
          <w:rFonts w:hint="default"/>
          <w:sz w:val="22"/>
        </w:rPr>
      </w:pPr>
    </w:p>
    <w:p>
      <w:pPr>
        <w:pStyle w:val="0"/>
        <w:adjustRightInd w:val="1"/>
        <w:spacing w:line="280" w:lineRule="exact"/>
        <w:rPr>
          <w:rFonts w:hint="default"/>
          <w:sz w:val="22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8410575</wp:posOffset>
                </wp:positionV>
                <wp:extent cx="1190625" cy="1114425"/>
                <wp:effectExtent l="635" t="635" r="29845" b="10795"/>
                <wp:wrapNone/>
                <wp:docPr id="1027" name="テキスト ボックス 8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8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90625" cy="1114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屋外平面駐車場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通路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緑地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屋外公開空地（</w:t>
                            </w: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1,2</w:t>
                            </w: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屋内公開空地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自走式立体駐車場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屋内駐車場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mso-wrap-distance-right:9pt;mso-wrap-distance-bottom:0pt;margin-top:662.25pt;mso-position-vertical-relative:text;mso-position-horizontal-relative:text;v-text-anchor:top;position:absolute;height:87.75pt;mso-wrap-distance-top:0pt;width:93.75pt;mso-wrap-distance-left:9pt;margin-left:299.55pt;z-index:7;" o:spid="_x0000_s1027" o:allowincell="t" o:allowoverlap="t" filled="t" fillcolor="#ffff00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屋外平面駐車場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通路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緑地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屋外公開空地（</w:t>
                      </w: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1,2</w:t>
                      </w: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）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屋内公開空地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自走式立体駐車場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屋内駐車場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8410575</wp:posOffset>
                </wp:positionV>
                <wp:extent cx="1190625" cy="1114425"/>
                <wp:effectExtent l="635" t="635" r="29845" b="10795"/>
                <wp:wrapNone/>
                <wp:docPr id="1028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7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90625" cy="1114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屋外平面駐車場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通路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緑地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屋外公開空地（</w:t>
                            </w: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1,2</w:t>
                            </w: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屋内公開空地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自走式立体駐車場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屋内駐車場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so-wrap-distance-right:9pt;mso-wrap-distance-bottom:0pt;margin-top:662.25pt;mso-position-vertical-relative:text;mso-position-horizontal-relative:text;v-text-anchor:top;position:absolute;height:87.75pt;mso-wrap-distance-top:0pt;width:93.75pt;mso-wrap-distance-left:9pt;margin-left:299.55pt;z-index:6;" o:spid="_x0000_s1028" o:allowincell="t" o:allowoverlap="t" filled="t" fillcolor="#ffff00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屋外平面駐車場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通路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緑地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屋外公開空地（</w:t>
                      </w: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1,2</w:t>
                      </w: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）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屋内公開空地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自走式立体駐車場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屋内駐車場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8410575</wp:posOffset>
                </wp:positionV>
                <wp:extent cx="1190625" cy="1114425"/>
                <wp:effectExtent l="635" t="635" r="29845" b="10795"/>
                <wp:wrapNone/>
                <wp:docPr id="1029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6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90625" cy="1114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屋外平面駐車場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通路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緑地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屋外公開空地（</w:t>
                            </w: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1,2</w:t>
                            </w: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屋内公開空地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自走式立体駐車場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屋内駐車場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wrap-distance-right:9pt;mso-wrap-distance-bottom:0pt;margin-top:662.25pt;mso-position-vertical-relative:text;mso-position-horizontal-relative:text;v-text-anchor:top;position:absolute;height:87.75pt;mso-wrap-distance-top:0pt;width:93.75pt;mso-wrap-distance-left:9pt;margin-left:299.55pt;z-index:5;" o:spid="_x0000_s1029" o:allowincell="t" o:allowoverlap="t" filled="t" fillcolor="#ffff00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屋外平面駐車場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通路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緑地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屋外公開空地（</w:t>
                      </w: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1,2</w:t>
                      </w: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）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屋内公開空地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自走式立体駐車場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屋内駐車場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8410575</wp:posOffset>
                </wp:positionV>
                <wp:extent cx="1190625" cy="1114425"/>
                <wp:effectExtent l="635" t="635" r="29845" b="10795"/>
                <wp:wrapNone/>
                <wp:docPr id="1030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90625" cy="1114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屋外平面駐車場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通路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緑地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屋外公開空地（</w:t>
                            </w: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1,2</w:t>
                            </w: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屋内公開空地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自走式立体駐車場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屋内駐車場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wrap-distance-right:9pt;mso-wrap-distance-bottom:0pt;margin-top:662.25pt;mso-position-vertical-relative:text;mso-position-horizontal-relative:text;v-text-anchor:top;position:absolute;height:87.75pt;mso-wrap-distance-top:0pt;width:93.75pt;mso-wrap-distance-left:9pt;margin-left:299.55pt;z-index:4;" o:spid="_x0000_s1030" o:allowincell="t" o:allowoverlap="t" filled="t" fillcolor="#ffff00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屋外平面駐車場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通路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緑地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屋外公開空地（</w:t>
                      </w: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1,2</w:t>
                      </w: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）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屋内公開空地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自走式立体駐車場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屋内駐車場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8410575</wp:posOffset>
                </wp:positionV>
                <wp:extent cx="1190625" cy="1114425"/>
                <wp:effectExtent l="635" t="635" r="29845" b="10795"/>
                <wp:wrapNone/>
                <wp:docPr id="1031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90625" cy="1114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屋外平面駐車場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通路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緑地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屋外公開空地（</w:t>
                            </w: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1,2</w:t>
                            </w: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屋内公開空地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自走式立体駐車場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屋内駐車場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662.25pt;mso-position-vertical-relative:text;mso-position-horizontal-relative:text;v-text-anchor:top;position:absolute;height:87.75pt;mso-wrap-distance-top:0pt;width:93.75pt;mso-wrap-distance-left:9pt;margin-left:299.55pt;z-index:3;" o:spid="_x0000_s1031" o:allowincell="t" o:allowoverlap="t" filled="t" fillcolor="#ffff00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屋外平面駐車場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通路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緑地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屋外公開空地（</w:t>
                      </w: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1,2</w:t>
                      </w: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）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屋内公開空地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自走式立体駐車場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屋内駐車場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8410575</wp:posOffset>
                </wp:positionV>
                <wp:extent cx="1190625" cy="1114425"/>
                <wp:effectExtent l="635" t="635" r="29845" b="10795"/>
                <wp:wrapNone/>
                <wp:docPr id="1032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90625" cy="1114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屋外平面駐車場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通路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緑地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屋外公開空地（</w:t>
                            </w: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1,2</w:t>
                            </w: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屋内公開空地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自走式立体駐車場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屋内駐車場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662.25pt;mso-position-vertical-relative:text;mso-position-horizontal-relative:text;v-text-anchor:top;position:absolute;height:87.75pt;mso-wrap-distance-top:0pt;width:93.75pt;mso-wrap-distance-left:9pt;margin-left:299.55pt;z-index:2;" o:spid="_x0000_s1032" o:allowincell="t" o:allowoverlap="t" filled="t" fillcolor="#ffff00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屋外平面駐車場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通路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緑地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屋外公開空地（</w:t>
                      </w: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1,2</w:t>
                      </w: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）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屋内公開空地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  <w:highlight w:val="yellow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自走式立体駐車場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屋内駐車場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djustRightInd w:val="1"/>
        <w:spacing w:line="280" w:lineRule="exact"/>
        <w:rPr>
          <w:rFonts w:hint="default"/>
          <w:sz w:val="22"/>
        </w:rPr>
      </w:pPr>
    </w:p>
    <w:p>
      <w:pPr>
        <w:pStyle w:val="0"/>
        <w:adjustRightInd w:val="1"/>
        <w:spacing w:line="280" w:lineRule="exact"/>
        <w:rPr>
          <w:rFonts w:hint="default"/>
          <w:sz w:val="22"/>
        </w:rPr>
      </w:pPr>
    </w:p>
    <w:p>
      <w:pPr>
        <w:pStyle w:val="0"/>
        <w:adjustRightInd w:val="1"/>
        <w:spacing w:line="280" w:lineRule="exact"/>
        <w:rPr>
          <w:rFonts w:hint="default"/>
          <w:sz w:val="22"/>
        </w:rPr>
      </w:pPr>
    </w:p>
    <w:p>
      <w:pPr>
        <w:pStyle w:val="0"/>
        <w:adjustRightInd w:val="1"/>
        <w:spacing w:line="280" w:lineRule="exact"/>
        <w:rPr>
          <w:rFonts w:hint="default"/>
          <w:sz w:val="22"/>
        </w:rPr>
      </w:pPr>
    </w:p>
    <w:p>
      <w:pPr>
        <w:pStyle w:val="0"/>
        <w:adjustRightInd w:val="1"/>
        <w:spacing w:line="280" w:lineRule="exact"/>
        <w:rPr>
          <w:rFonts w:hint="default"/>
          <w:sz w:val="22"/>
        </w:rPr>
      </w:pPr>
    </w:p>
    <w:p>
      <w:pPr>
        <w:pStyle w:val="0"/>
        <w:adjustRightInd w:val="1"/>
        <w:spacing w:line="280" w:lineRule="exact"/>
        <w:rPr>
          <w:rFonts w:hint="default"/>
          <w:sz w:val="22"/>
        </w:rPr>
      </w:pPr>
    </w:p>
    <w:p>
      <w:pPr>
        <w:pStyle w:val="0"/>
        <w:adjustRightInd w:val="1"/>
        <w:spacing w:line="280" w:lineRule="exact"/>
        <w:rPr>
          <w:rFonts w:hint="default"/>
          <w:sz w:val="22"/>
        </w:rPr>
      </w:pPr>
    </w:p>
    <w:p>
      <w:pPr>
        <w:pStyle w:val="0"/>
        <w:adjustRightInd w:val="1"/>
        <w:spacing w:line="280" w:lineRule="exact"/>
        <w:rPr>
          <w:rFonts w:hint="default"/>
          <w:sz w:val="22"/>
        </w:rPr>
      </w:pPr>
    </w:p>
    <w:p>
      <w:pPr>
        <w:pStyle w:val="0"/>
        <w:adjustRightInd w:val="1"/>
        <w:spacing w:line="280" w:lineRule="exact"/>
        <w:rPr>
          <w:rFonts w:hint="default"/>
          <w:sz w:val="22"/>
        </w:rPr>
      </w:pP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spacing w:line="394" w:lineRule="exact"/>
        <w:jc w:val="center"/>
        <w:rPr>
          <w:rFonts w:hint="default"/>
        </w:rPr>
      </w:pPr>
      <w:r>
        <w:rPr>
          <w:rFonts w:hint="eastAsia"/>
          <w:sz w:val="32"/>
        </w:rPr>
        <w:t>社</w:t>
      </w:r>
      <w:r>
        <w:rPr>
          <w:rFonts w:hint="default"/>
          <w:b w:val="1"/>
          <w:sz w:val="32"/>
        </w:rPr>
        <w:t xml:space="preserve"> </w:t>
      </w:r>
      <w:r>
        <w:rPr>
          <w:rFonts w:hint="eastAsia"/>
          <w:sz w:val="32"/>
        </w:rPr>
        <w:t>内</w:t>
      </w:r>
      <w:r>
        <w:rPr>
          <w:rFonts w:hint="default"/>
          <w:b w:val="1"/>
          <w:sz w:val="32"/>
        </w:rPr>
        <w:t xml:space="preserve"> </w:t>
      </w:r>
      <w:r>
        <w:rPr>
          <w:rFonts w:hint="eastAsia"/>
          <w:sz w:val="32"/>
        </w:rPr>
        <w:t>検</w:t>
      </w:r>
      <w:r>
        <w:rPr>
          <w:rFonts w:hint="default"/>
          <w:b w:val="1"/>
          <w:sz w:val="32"/>
        </w:rPr>
        <w:t xml:space="preserve"> </w:t>
      </w:r>
      <w:r>
        <w:rPr>
          <w:rFonts w:hint="eastAsia"/>
          <w:sz w:val="32"/>
        </w:rPr>
        <w:t>査</w:t>
      </w:r>
      <w:r>
        <w:rPr>
          <w:rFonts w:hint="default"/>
          <w:b w:val="1"/>
          <w:sz w:val="32"/>
        </w:rPr>
        <w:t xml:space="preserve"> </w:t>
      </w:r>
      <w:r>
        <w:rPr>
          <w:rFonts w:hint="eastAsia"/>
          <w:sz w:val="32"/>
        </w:rPr>
        <w:t>結</w:t>
      </w:r>
      <w:r>
        <w:rPr>
          <w:rFonts w:hint="default"/>
          <w:b w:val="1"/>
          <w:sz w:val="32"/>
        </w:rPr>
        <w:t xml:space="preserve"> </w:t>
      </w:r>
      <w:r>
        <w:rPr>
          <w:rFonts w:hint="eastAsia"/>
          <w:sz w:val="32"/>
        </w:rPr>
        <w:t>果</w:t>
      </w:r>
    </w:p>
    <w:p>
      <w:pPr>
        <w:pStyle w:val="0"/>
        <w:adjustRightInd w:val="1"/>
        <w:spacing w:line="510" w:lineRule="exact"/>
        <w:rPr>
          <w:rFonts w:hint="default"/>
        </w:rPr>
      </w:pPr>
    </w:p>
    <w:tbl>
      <w:tblPr>
        <w:tblStyle w:val="11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551"/>
        <w:gridCol w:w="2948"/>
        <w:gridCol w:w="2948"/>
      </w:tblGrid>
      <w:tr>
        <w:trPr/>
        <w:tc>
          <w:tcPr>
            <w:tcW w:w="255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検　査　箇　所</w:t>
            </w:r>
          </w:p>
        </w:tc>
        <w:tc>
          <w:tcPr>
            <w:tcW w:w="29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指　示　事　項</w:t>
            </w:r>
          </w:p>
        </w:tc>
        <w:tc>
          <w:tcPr>
            <w:tcW w:w="29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処　理　方　法</w:t>
            </w: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2551" w:type="dxa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ind w:leftChars="0" w:firstLine="0" w:firstLineChars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ind w:leftChars="0" w:firstLine="0" w:firstLineChars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  <w:bookmarkStart w:id="0" w:name="_GoBack"/>
            <w:bookmarkEnd w:id="0"/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</w:tbl>
    <w:p>
      <w:pPr>
        <w:pStyle w:val="0"/>
        <w:autoSpaceDE w:val="0"/>
        <w:autoSpaceDN w:val="0"/>
        <w:jc w:val="left"/>
        <w:textAlignment w:val="auto"/>
        <w:rPr>
          <w:rFonts w:hint="default"/>
          <w:sz w:val="2"/>
        </w:rPr>
      </w:pPr>
    </w:p>
    <w:sectPr>
      <w:footerReference r:id="rId5" w:type="default"/>
      <w:type w:val="continuous"/>
      <w:pgSz w:w="11906" w:h="16838"/>
      <w:pgMar w:top="1985" w:right="1701" w:bottom="1701" w:left="1701" w:header="720" w:footer="720" w:gutter="0"/>
      <w:cols w:space="720"/>
      <w:noEndnote w:val="1"/>
      <w:textDirection w:val="lrTb"/>
      <w:docGrid w:type="linesAndChars" w:linePitch="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4"/>
      <w:rPr>
        <w:rFonts w:hint="default"/>
      </w:rPr>
    </w:pP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1"/>
  <w:drawingGridVerticalSpacing w:val="276"/>
  <w:displayHorizontalDrawingGridEvery w:val="0"/>
  <w:doNotUseMarginsForDrawingGridOrigin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color w:val="000000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color w:val="000000"/>
      <w:kern w:val="0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306</TotalTime>
  <Pages>2</Pages>
  <Words>0</Words>
  <Characters>110</Characters>
  <Application>JUST Note</Application>
  <Lines>118</Lines>
  <Paragraphs>15</Paragraphs>
  <CharactersWithSpaces>224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社内検査実施要領、社内検査実施結果報告書　2枚</dc:title>
  <dc:creator>旭川市　建築課</dc:creator>
  <cp:lastModifiedBy>toshikeikaku104</cp:lastModifiedBy>
  <cp:lastPrinted>2021-03-12T00:11:34Z</cp:lastPrinted>
  <dcterms:created xsi:type="dcterms:W3CDTF">2017-02-20T06:59:00Z</dcterms:created>
  <dcterms:modified xsi:type="dcterms:W3CDTF">2024-04-24T06:02:06Z</dcterms:modified>
  <cp:revision>19</cp:revision>
</cp:coreProperties>
</file>