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-366395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1910907"/>
      <w:r>
        <w:rPr>
          <w:rFonts w:hint="eastAsia"/>
        </w:rPr>
        <w:drawing>
          <wp:anchor distT="0" distB="0" distL="114300" distR="114300" simplePos="0" relativeHeight="5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935990" cy="427355"/>
            <wp:effectExtent l="0" t="0" r="0" b="0"/>
            <wp:wrapNone/>
            <wp:docPr id="102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様式６―１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19680" cy="575945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才　　ヵ月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1.8pt;mso-position-vertical-relative:text;mso-position-horizontal:right;mso-position-horizontal-relative:margin;v-text-anchor:top;position:absolute;height:45.35pt;mso-wrap-distance-top:0pt;width:198.4pt;mso-wrap-distance-left:9pt;z-index:2;" o:spid="_x0000_s102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才　　ヵ月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氏名：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子ども理解シート（就学前）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作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成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見直し日：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  <w:bookmarkEnd w:id="0"/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2300"/>
        <w:gridCol w:w="2301"/>
        <w:gridCol w:w="2300"/>
        <w:gridCol w:w="2301"/>
      </w:tblGrid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項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目</w:t>
            </w:r>
          </w:p>
        </w:tc>
        <w:tc>
          <w:tcPr>
            <w:tcW w:w="46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気になること・苦手なこと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本人にある実態として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本人にある実態として</w:t>
            </w:r>
          </w:p>
        </w:tc>
        <w:tc>
          <w:tcPr>
            <w:tcW w:w="230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人や場面などとの関連で</w:t>
            </w: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遊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び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運動遊び・制作遊び・考える遊び・学習につながる遊び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活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睡眠・食事・排泄・衛生・物の管理・手伝い・移動・敏感さや鈍感さ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社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性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家族を含めた他者との関わり方・さまざまな場でのふるまい・危険の回避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の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他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上記以外の内容・家族（きょうだい）関係・デイサービス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sz w:val="20"/>
        </w:rPr>
      </w:pPr>
      <w:bookmarkStart w:id="1" w:name="_Hlk121901184"/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特徴的な様子</w:t>
      </w:r>
      <w:r>
        <w:rPr>
          <w:rFonts w:hint="eastAsia" w:ascii="游ゴシック" w:hAnsi="游ゴシック" w:eastAsia="游ゴシック"/>
          <w:sz w:val="20"/>
        </w:rPr>
        <w:t>について</w:t>
      </w:r>
      <w:r>
        <w:rPr>
          <w:rFonts w:hint="default" w:ascii="游ゴシック" w:hAnsi="游ゴシック" w:eastAsia="游ゴシック"/>
          <w:sz w:val="20"/>
        </w:rPr>
        <w:t>記入</w:t>
      </w:r>
      <w:r>
        <w:rPr>
          <w:rFonts w:hint="eastAsia" w:ascii="游ゴシック" w:hAnsi="游ゴシック" w:eastAsia="游ゴシック"/>
          <w:sz w:val="20"/>
        </w:rPr>
        <w:t>してください</w:t>
      </w:r>
      <w:r>
        <w:rPr>
          <w:rFonts w:hint="default" w:ascii="游ゴシック" w:hAnsi="游ゴシック" w:eastAsia="游ゴシック"/>
          <w:sz w:val="20"/>
        </w:rPr>
        <w:t>。特に思い浮かばない記入欄は書かなくても</w:t>
      </w:r>
      <w:r>
        <w:rPr>
          <w:rFonts w:hint="eastAsia" w:ascii="游ゴシック" w:hAnsi="游ゴシック" w:eastAsia="游ゴシック"/>
          <w:sz w:val="20"/>
        </w:rPr>
        <w:t>構いません</w:t>
      </w:r>
      <w:r>
        <w:rPr>
          <w:rFonts w:hint="default" w:ascii="游ゴシック" w:hAnsi="游ゴシック" w:eastAsia="游ゴシック"/>
          <w:sz w:val="20"/>
        </w:rPr>
        <w:t>。</w:t>
      </w:r>
    </w:p>
    <w:p>
      <w:pPr>
        <w:pStyle w:val="0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どの記入欄に書けばよいか迷った</w:t>
      </w:r>
      <w:r>
        <w:rPr>
          <w:rFonts w:hint="eastAsia" w:ascii="游ゴシック" w:hAnsi="游ゴシック" w:eastAsia="游ゴシック"/>
          <w:sz w:val="20"/>
        </w:rPr>
        <w:t>時</w:t>
      </w:r>
      <w:r>
        <w:rPr>
          <w:rFonts w:hint="default" w:ascii="游ゴシック" w:hAnsi="游ゴシック" w:eastAsia="游ゴシック"/>
          <w:sz w:val="20"/>
        </w:rPr>
        <w:t>は，その行動や様子が多く見られる記入欄に書いてください。</w:t>
      </w:r>
      <w:bookmarkEnd w:id="1"/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0</Words>
  <Characters>334</Characters>
  <Application>JUST Note</Application>
  <Lines>104</Lines>
  <Paragraphs>30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2024-07-05T07:01:23Z</dcterms:modified>
  <cp:revision>101</cp:revision>
</cp:coreProperties>
</file>