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b w:val="1"/>
          <w:sz w:val="24"/>
        </w:rPr>
      </w:pPr>
      <w:bookmarkStart w:id="0" w:name="_GoBack"/>
      <w:bookmarkEnd w:id="0"/>
      <w:r>
        <w:rPr>
          <w:rFonts w:hint="eastAsia" w:asciiTheme="minorEastAsia" w:hAnsiTheme="minorEastAsia"/>
          <w:b w:val="1"/>
          <w:sz w:val="24"/>
        </w:rPr>
        <w:t>自己評価・外部評価・運営推進会議活用ツール</w:t>
      </w:r>
    </w:p>
    <w:tbl>
      <w:tblPr>
        <w:tblStyle w:val="11"/>
        <w:tblW w:w="21585" w:type="dxa"/>
        <w:tblInd w:w="0" w:type="dxa"/>
        <w:tblLayout w:type="fixed"/>
        <w:tblCellMar>
          <w:left w:w="99" w:type="dxa"/>
          <w:right w:w="99" w:type="dxa"/>
        </w:tblCellMar>
        <w:tblLook w:firstRow="1" w:lastRow="0" w:firstColumn="1" w:lastColumn="0" w:noHBand="0" w:noVBand="1" w:val="04A0"/>
      </w:tblPr>
      <w:tblGrid>
        <w:gridCol w:w="620"/>
        <w:gridCol w:w="1820"/>
        <w:gridCol w:w="3645"/>
        <w:gridCol w:w="2420"/>
        <w:gridCol w:w="3280"/>
        <w:gridCol w:w="3615"/>
        <w:gridCol w:w="2625"/>
        <w:gridCol w:w="3560"/>
      </w:tblGrid>
      <w:tr>
        <w:trPr>
          <w:trHeight w:val="600"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kern w:val="0"/>
                <w:sz w:val="20"/>
              </w:rPr>
            </w:pPr>
            <w:bookmarkStart w:id="1" w:name="RANGE!A1:I54"/>
            <w:bookmarkStart w:id="2" w:name="OLE_LINK1"/>
            <w:r>
              <w:rPr>
                <w:rFonts w:hint="eastAsia" w:ascii="ＭＳ Ｐゴシック" w:hAnsi="ＭＳ Ｐゴシック" w:eastAsia="ＭＳ Ｐゴシック"/>
                <w:b w:val="1"/>
                <w:kern w:val="0"/>
                <w:sz w:val="20"/>
              </w:rPr>
              <w:t>№</w:t>
            </w:r>
            <w:bookmarkEnd w:id="1"/>
            <w:bookmarkEnd w:id="2"/>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20"/>
              </w:rPr>
              <w:t>タイトル</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20"/>
              </w:rPr>
              <w:t>評価項目</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color w:val="000000"/>
                <w:kern w:val="0"/>
                <w:sz w:val="20"/>
              </w:rPr>
            </w:pPr>
            <w:r>
              <w:rPr>
                <w:rFonts w:hint="eastAsia" w:ascii="ＭＳ Ｐゴシック" w:hAnsi="ＭＳ Ｐゴシック" w:eastAsia="ＭＳ Ｐゴシック"/>
                <w:b w:val="1"/>
                <w:color w:val="000000"/>
                <w:kern w:val="0"/>
                <w:sz w:val="20"/>
              </w:rPr>
              <w:t>自己評価</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color w:val="000000"/>
                <w:kern w:val="0"/>
                <w:sz w:val="20"/>
              </w:rPr>
            </w:pPr>
            <w:r>
              <w:rPr>
                <w:rFonts w:hint="eastAsia" w:ascii="ＭＳ Ｐゴシック" w:hAnsi="ＭＳ Ｐゴシック" w:eastAsia="ＭＳ Ｐゴシック"/>
                <w:b w:val="1"/>
                <w:color w:val="000000"/>
                <w:kern w:val="0"/>
                <w:sz w:val="20"/>
              </w:rPr>
              <w:t>記述</w:t>
            </w:r>
          </w:p>
        </w:tc>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color w:val="000000"/>
                <w:kern w:val="0"/>
                <w:sz w:val="20"/>
              </w:rPr>
            </w:pPr>
            <w:r>
              <w:rPr>
                <w:rFonts w:hint="eastAsia" w:ascii="ＭＳ Ｐゴシック" w:hAnsi="ＭＳ Ｐゴシック" w:eastAsia="ＭＳ Ｐゴシック"/>
                <w:b w:val="1"/>
                <w:color w:val="000000"/>
                <w:kern w:val="0"/>
                <w:sz w:val="20"/>
              </w:rPr>
              <w:t>運営推進会議で話しあった内容</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color w:val="000000"/>
                <w:kern w:val="0"/>
                <w:sz w:val="20"/>
              </w:rPr>
            </w:pPr>
            <w:r>
              <w:rPr>
                <w:rFonts w:hint="eastAsia" w:ascii="ＭＳ Ｐゴシック" w:hAnsi="ＭＳ Ｐゴシック" w:eastAsia="ＭＳ Ｐゴシック"/>
                <w:b w:val="1"/>
                <w:color w:val="000000"/>
                <w:kern w:val="0"/>
                <w:sz w:val="20"/>
              </w:rPr>
              <w:t>外部評価</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color w:val="000000"/>
                <w:kern w:val="0"/>
                <w:sz w:val="20"/>
              </w:rPr>
            </w:pPr>
            <w:r>
              <w:rPr>
                <w:rFonts w:hint="eastAsia" w:ascii="ＭＳ Ｐゴシック" w:hAnsi="ＭＳ Ｐゴシック" w:eastAsia="ＭＳ Ｐゴシック"/>
                <w:b w:val="1"/>
                <w:color w:val="000000"/>
                <w:kern w:val="0"/>
                <w:sz w:val="20"/>
              </w:rPr>
              <w:t>記述</w:t>
            </w:r>
          </w:p>
        </w:tc>
      </w:tr>
      <w:tr>
        <w:trPr>
          <w:trHeight w:val="444" w:hRule="atLeast"/>
        </w:trPr>
        <w:tc>
          <w:tcPr>
            <w:tcW w:w="850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Ⅰ</w:t>
            </w:r>
            <w:r>
              <w:rPr>
                <w:rFonts w:hint="eastAsia" w:ascii="ＭＳ Ｐゴシック" w:hAnsi="ＭＳ Ｐゴシック" w:eastAsia="ＭＳ Ｐゴシック"/>
                <w:b w:val="1"/>
                <w:color w:val="FFFFFF"/>
                <w:kern w:val="0"/>
                <w:sz w:val="22"/>
              </w:rPr>
              <w:t>.</w:t>
            </w:r>
            <w:r>
              <w:rPr>
                <w:rFonts w:hint="eastAsia" w:ascii="ＭＳ Ｐゴシック" w:hAnsi="ＭＳ Ｐゴシック" w:eastAsia="ＭＳ Ｐゴシック"/>
                <w:b w:val="1"/>
                <w:color w:val="FFFFFF"/>
                <w:kern w:val="0"/>
                <w:sz w:val="22"/>
              </w:rPr>
              <w:t>理念・安心と安全に基づく運営</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理念の共有と実践　</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地域密着型サービスの意義をふまえた事業所理念をつくり、管理者と職員は、その理念を共有して実践につなげている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事業所と地域とのつきあい</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kern w:val="0"/>
                <w:sz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運営推進会議を活かした取り組み</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運営推進会議では、利用者やサービスの実際、評価への取り組み状況等について報告や話し合いを行い、そこでの意見をサービス向上に活かしている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4</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市町村との連携</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市町村担当者と日頃から連絡を密に取り、事業所の実情やケアサービスの取り組みを積極的に伝えながら、協力関係を築くように取り組んでいる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5</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身体拘束をしないケアの実践</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6</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虐待の防止の徹底</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7</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権利擁護に関する制度の理解と活用</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8</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契約に関する説明と納得</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契約の締結、解約また改定等の際は、利用者や家族等の不安や疑問点を尋ね、十分な説明を行い理解・納得を図っている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9</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運営に関する利用者、家族等意見の反映</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利用者や家族等が意見、要望を管理者や職員ならびに外部者へ表せる機会を設け、それらを運営に反映させている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10</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運営に関する職員意見の反映</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代表者や管理者は、運営に関する職員の意見や提案を聞く機会を設け、反映させている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11</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就業環境の整備</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12</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職員を育てる取り組み</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13</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同業者との交流を通じた向上</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14</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本人と共に過ごし支えあう関係</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職員は、本人を介護される一方の立場におかず、暮らしを共にする者同士の関係を築いている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820"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15</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馴染みの人や場との関係継続の支援</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本人がこれまで大切にしてきた馴染みの人や場所との関係が途切れないよう、支援に努めている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564" w:hRule="atLeast"/>
        </w:trPr>
        <w:tc>
          <w:tcPr>
            <w:tcW w:w="850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Ⅱ．その人らしい暮らしを続けるためのケアマネジメント</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262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16</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思いや意向の把握</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一人ひとりの思いや暮らし方、生活環境、一日の過ごし方の希望や意向の把握に努めている。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17</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チームでつくる介護計画とモニタリング</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18</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個別の記録と実践への反映</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日々の様子やケアの実践・結果、気づきや工夫を個別記録に記入し、職員間で情報を共有しながら実践や介護計画の見直しに活かしている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19</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一人ひとりを支えるための事業所の多機能化</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本人や家族の状況、その時々に生まれるニーズに対応して、既存のサービスに捉われない、柔軟な支援やサービスの多機能化に取り組んでいる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20</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地域資源との協働</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一人ひとりの暮らしを支えている地域資源を把握し、本人が心身の力を発揮しながら安全で豊かな暮らしを楽しむことができるよう支援している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21</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かかりつけ医の受診支援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受診は、本人及び家族等の希望を大切にし、納得が得られたかかりつけ医と事業所の関係を築きながら、適切な医療を受けられるように支援している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22</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入退院時の医療機関との協働</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pPr>
              <w:pStyle w:val="0"/>
              <w:widowControl w:val="1"/>
              <w:jc w:val="left"/>
              <w:rPr>
                <w:rFonts w:hint="default" w:ascii="ＭＳ Ｐゴシック" w:hAnsi="ＭＳ Ｐゴシック" w:eastAsia="ＭＳ Ｐゴシック"/>
                <w:kern w:val="0"/>
                <w:sz w:val="19"/>
              </w:rPr>
            </w:pPr>
          </w:p>
          <w:p>
            <w:pPr>
              <w:pStyle w:val="0"/>
              <w:widowControl w:val="1"/>
              <w:jc w:val="left"/>
              <w:rPr>
                <w:rFonts w:hint="default" w:ascii="ＭＳ Ｐゴシック" w:hAnsi="ＭＳ Ｐゴシック" w:eastAsia="ＭＳ Ｐゴシック"/>
                <w:kern w:val="0"/>
                <w:sz w:val="19"/>
              </w:rPr>
            </w:pP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710"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23</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重度化や終末期に向けた方針の共有と支援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24</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急変や事故発生時の備え</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利用者の急変や事故発生時に備えて、全ての職員は応急手当や初期対応の訓練を定期的に行い、実践力を身に付けている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25</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災害対策</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火災や地震、水害等の災害時に、昼夜を問わず利用者が避難できる方法を全職員が身につけるとともに、地域との協力体制を築いている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360" w:hRule="atLeast"/>
        </w:trPr>
        <w:tc>
          <w:tcPr>
            <w:tcW w:w="850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Ⅲ．その人らしい暮らしを続けるための日々の支援　</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262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26</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一人ひとりの尊重とプライバシーの確保</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一人ひとりの人格を尊重し、誇りやプライバシーを損ねない言葉かけや対応をしている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27</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日々のその人らしい暮らし</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28</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食事を楽しむことのできる支援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食事が楽しみなものになるよう、一人ひとりの好みや力を活かしながら、利用者と職員が一緒に準備や食事、片付けをしている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29</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栄養摂取や水分確保の支援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食べる量や栄養バランス、水分量が一日を通じて確保できるよう、一人ひとりの状態や力、習慣に応じた支援をしている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30</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口腔内の清潔保持</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口の中の汚れや臭いが生じないよう、毎食後、一人ひとりの口腔状態や本人の力に応じた口腔ケアをしている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31</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排泄の自立支援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32</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入浴を楽しむことができる支援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一人ひとりの希望やタイミングに合わせて入浴を楽しめるように、職員の都合で曜日や時間帯を決めてしまわずに、個々にそった支援をしている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33</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安眠や休息の支援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一人ひとりの生活習慣やその時々の状況に応じて、休息したり、安心して気持ちよく眠れるよう支援している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34</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服薬支援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一人ひとりが使用している薬の目的や副作用、用法や用量について理解しており、服薬の支援と症状の変化の確認に努めている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35</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役割、楽しみごとの支援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張り合いや喜びのある日々を過ごせるように、一人ひとりの生活歴や力を活かした役割、嗜好品、楽しみごと、気分転換等の支援をしている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36</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日常的な外出支援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w:t>
            </w:r>
            <w:r>
              <w:rPr>
                <w:rFonts w:hint="default" w:ascii="ＭＳ Ｐゴシック" w:hAnsi="ＭＳ Ｐゴシック" w:eastAsia="ＭＳ Ｐゴシック"/>
                <w:kern w:val="0"/>
                <w:sz w:val="20"/>
              </w:rPr>
              <w:t>7</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お金の所持や使うことの支援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職員は、本人がお金を持つことの大切さを理解しており、一人ひとりの希望や力に応じて、お金を所持したり使えるように支援している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38</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電話や手紙の支援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家族や大切な人に本人自らが電話をしたり、手紙のやり取りができるように支援をしている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39</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居心地のよい共用空間づくり</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360" w:hRule="atLeast"/>
        </w:trPr>
        <w:tc>
          <w:tcPr>
            <w:tcW w:w="850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Ⅳ．本人暮らしの状況把握・確認項目（利用者一人ひとりの確認項目）</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262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40</w:t>
            </w:r>
          </w:p>
        </w:tc>
        <w:tc>
          <w:tcPr>
            <w:tcW w:w="18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本人主体の暮らし</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本人は、自分の思い、願い、日々の暮らし方の意向に沿った暮らしができている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41</w:t>
            </w:r>
          </w:p>
        </w:tc>
        <w:tc>
          <w:tcPr>
            <w:tcW w:w="18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本人は、自分の生活歴や友人関係、暮らしの習慣、特徴など様々な情報をもとに、ケア・支援を受けることができている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42</w:t>
            </w:r>
          </w:p>
        </w:tc>
        <w:tc>
          <w:tcPr>
            <w:tcW w:w="18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本人は、自分の健康面・医療面・安全面・環境面について、日々の状況をもとに、ケア・支援を受けることができている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43</w:t>
            </w:r>
          </w:p>
        </w:tc>
        <w:tc>
          <w:tcPr>
            <w:tcW w:w="18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生活の継続性</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本人は、自分のペースで、これまでの暮らしの習慣にあった生活ができている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44</w:t>
            </w:r>
          </w:p>
        </w:tc>
        <w:tc>
          <w:tcPr>
            <w:tcW w:w="18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本人は、自分のなじみのものや、大切にしているものを、身近（自室等）に持つことができている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45</w:t>
            </w:r>
          </w:p>
        </w:tc>
        <w:tc>
          <w:tcPr>
            <w:tcW w:w="18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本人は、自分の意向、希望によって、戸外に出かけることや、催（祭）事に参加することができている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46</w:t>
            </w:r>
          </w:p>
        </w:tc>
        <w:tc>
          <w:tcPr>
            <w:tcW w:w="18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本人が持つ力の活用</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47</w:t>
            </w:r>
          </w:p>
        </w:tc>
        <w:tc>
          <w:tcPr>
            <w:tcW w:w="18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本人は、自分がいきいきと過ごす会話のひと時や、活動場面を日々の暮らしの中で得ることができている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48</w:t>
            </w:r>
          </w:p>
        </w:tc>
        <w:tc>
          <w:tcPr>
            <w:tcW w:w="18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本人は、自分なりに近隣や地域の人々と関わったり、交流することができている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49</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総合</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本人は、この</w:t>
            </w:r>
            <w:r>
              <w:rPr>
                <w:rFonts w:hint="eastAsia" w:ascii="ＭＳ Ｐゴシック" w:hAnsi="ＭＳ Ｐゴシック" w:eastAsia="ＭＳ Ｐゴシック"/>
                <w:color w:val="000000"/>
                <w:kern w:val="0"/>
                <w:sz w:val="22"/>
              </w:rPr>
              <w:t>GH</w:t>
            </w:r>
            <w:r>
              <w:rPr>
                <w:rFonts w:hint="eastAsia" w:ascii="ＭＳ Ｐゴシック" w:hAnsi="ＭＳ Ｐゴシック" w:eastAsia="ＭＳ Ｐゴシック"/>
                <w:color w:val="000000"/>
                <w:kern w:val="0"/>
                <w:sz w:val="22"/>
              </w:rPr>
              <w:t>にいることで、職員や地域の人々と親しみ、安心の日々、よりよい日々をおくることができている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bl>
    <w:p>
      <w:pPr>
        <w:pStyle w:val="0"/>
        <w:jc w:val="left"/>
        <w:rPr>
          <w:rFonts w:hint="default" w:asciiTheme="majorEastAsia" w:hAnsiTheme="majorEastAsia" w:eastAsiaTheme="majorEastAsia"/>
          <w:b w:val="1"/>
          <w:sz w:val="32"/>
        </w:rPr>
      </w:pPr>
    </w:p>
    <w:sectPr>
      <w:headerReference r:id="rId7" w:type="even"/>
      <w:headerReference r:id="rId8" w:type="default"/>
      <w:footerReference r:id="rId10" w:type="even"/>
      <w:footerReference r:id="rId11" w:type="default"/>
      <w:headerReference r:id="rId6" w:type="first"/>
      <w:footerReference r:id="rId9" w:type="first"/>
      <w:pgSz w:w="23814" w:h="16839" w:orient="landscape"/>
      <w:pgMar w:top="1440" w:right="1077" w:bottom="1440" w:left="1077" w:header="851" w:footer="907" w:gutter="0"/>
      <w:pgNumType w:fmt="numberInDash"/>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719321401"/>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- 1 -</w:t>
        </w:r>
        <w:r>
          <w:rPr>
            <w:rFonts w:hint="eastAsia"/>
          </w:rPr>
          <w:fldChar w:fldCharType="end"/>
        </w:r>
      </w:p>
    </w:sdtContent>
  </w:sdt>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611686032"/>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- 2 -</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r>
      <w:rPr>
        <w:rFonts w:hint="eastAsia"/>
      </w:rPr>
      <w:t>（別紙２の２）</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D147CBC"/>
    <w:lvl w:ilvl="0" w:tplc="A5F4ECC4">
      <w:numFmt w:val="bullet"/>
      <w:pStyle w:val="37"/>
      <w:lvlText w:val="○"/>
      <w:lvlJc w:val="left"/>
      <w:pPr>
        <w:ind w:left="1096" w:hanging="360"/>
      </w:pPr>
      <w:rPr>
        <w:rFonts w:hint="eastAsia" w:ascii="ＭＳ 明朝" w:hAnsi="ＭＳ 明朝" w:eastAsia="ＭＳ 明朝"/>
      </w:rPr>
    </w:lvl>
    <w:lvl w:ilvl="1" w:tplc="0409000B">
      <w:numFmt w:val="bullet"/>
      <w:lvlText w:val=""/>
      <w:lvlJc w:val="left"/>
      <w:pPr>
        <w:ind w:left="1576" w:hanging="420"/>
      </w:pPr>
      <w:rPr>
        <w:rFonts w:hint="default" w:ascii="Wingdings" w:hAnsi="Wingdings"/>
      </w:rPr>
    </w:lvl>
    <w:lvl w:ilvl="2" w:tplc="0409000D">
      <w:numFmt w:val="bullet"/>
      <w:lvlText w:val=""/>
      <w:lvlJc w:val="left"/>
      <w:pPr>
        <w:ind w:left="1996" w:hanging="420"/>
      </w:pPr>
      <w:rPr>
        <w:rFonts w:hint="default" w:ascii="Wingdings" w:hAnsi="Wingdings"/>
      </w:rPr>
    </w:lvl>
    <w:lvl w:ilvl="3" w:tplc="04090001">
      <w:numFmt w:val="bullet"/>
      <w:lvlText w:val=""/>
      <w:lvlJc w:val="left"/>
      <w:pPr>
        <w:ind w:left="2416" w:hanging="420"/>
      </w:pPr>
      <w:rPr>
        <w:rFonts w:hint="default" w:ascii="Wingdings" w:hAnsi="Wingdings"/>
      </w:rPr>
    </w:lvl>
    <w:lvl w:ilvl="4" w:tplc="0409000B">
      <w:numFmt w:val="bullet"/>
      <w:lvlText w:val=""/>
      <w:lvlJc w:val="left"/>
      <w:pPr>
        <w:ind w:left="2836" w:hanging="420"/>
      </w:pPr>
      <w:rPr>
        <w:rFonts w:hint="default" w:ascii="Wingdings" w:hAnsi="Wingdings"/>
      </w:rPr>
    </w:lvl>
    <w:lvl w:ilvl="5" w:tplc="0409000D">
      <w:numFmt w:val="bullet"/>
      <w:lvlText w:val=""/>
      <w:lvlJc w:val="left"/>
      <w:pPr>
        <w:ind w:left="3256" w:hanging="420"/>
      </w:pPr>
      <w:rPr>
        <w:rFonts w:hint="default" w:ascii="Wingdings" w:hAnsi="Wingdings"/>
      </w:rPr>
    </w:lvl>
    <w:lvl w:ilvl="6" w:tplc="04090001">
      <w:numFmt w:val="bullet"/>
      <w:lvlText w:val=""/>
      <w:lvlJc w:val="left"/>
      <w:pPr>
        <w:ind w:left="3676" w:hanging="420"/>
      </w:pPr>
      <w:rPr>
        <w:rFonts w:hint="default" w:ascii="Wingdings" w:hAnsi="Wingdings"/>
      </w:rPr>
    </w:lvl>
    <w:lvl w:ilvl="7" w:tplc="0409000B">
      <w:numFmt w:val="bullet"/>
      <w:lvlText w:val=""/>
      <w:lvlJc w:val="left"/>
      <w:pPr>
        <w:ind w:left="4096" w:hanging="420"/>
      </w:pPr>
      <w:rPr>
        <w:rFonts w:hint="default" w:ascii="Wingdings" w:hAnsi="Wingdings"/>
      </w:rPr>
    </w:lvl>
    <w:lvl w:ilvl="8" w:tplc="0409000D">
      <w:numFmt w:val="bullet"/>
      <w:lvlText w:val=""/>
      <w:lvlJc w:val="left"/>
      <w:pPr>
        <w:ind w:left="4516"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45"/>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一太郎"/>
    <w:next w:val="19"/>
    <w:link w:val="0"/>
    <w:uiPriority w:val="0"/>
    <w:pPr>
      <w:widowControl w:val="0"/>
      <w:wordWrap w:val="0"/>
      <w:autoSpaceDE w:val="0"/>
      <w:autoSpaceDN w:val="0"/>
      <w:adjustRightInd w:val="0"/>
      <w:spacing w:after="120" w:afterLines="0" w:afterAutospacing="0" w:line="273" w:lineRule="exact"/>
      <w:jc w:val="both"/>
    </w:pPr>
    <w:rPr>
      <w:rFonts w:ascii="Century" w:hAnsi="Century" w:eastAsia="ＭＳ 明朝"/>
      <w:spacing w:val="-1"/>
      <w:kern w:val="0"/>
      <w:sz w:val="22"/>
    </w:rPr>
  </w:style>
  <w:style w:type="paragraph" w:styleId="20">
    <w:name w:val="Plain Text"/>
    <w:basedOn w:val="0"/>
    <w:next w:val="20"/>
    <w:link w:val="21"/>
    <w:uiPriority w:val="0"/>
    <w:pPr>
      <w:jc w:val="left"/>
    </w:pPr>
    <w:rPr>
      <w:rFonts w:ascii="ＭＳ ゴシック" w:hAnsi="ＭＳ ゴシック" w:eastAsia="ＭＳ ゴシック"/>
      <w:sz w:val="20"/>
    </w:rPr>
  </w:style>
  <w:style w:type="character" w:styleId="21" w:customStyle="1">
    <w:name w:val="書式なし (文字)"/>
    <w:basedOn w:val="10"/>
    <w:next w:val="21"/>
    <w:link w:val="20"/>
    <w:uiPriority w:val="0"/>
    <w:rPr>
      <w:rFonts w:ascii="ＭＳ ゴシック" w:hAnsi="ＭＳ ゴシック" w:eastAsia="ＭＳ ゴシック"/>
      <w:sz w:val="20"/>
    </w:rPr>
  </w:style>
  <w:style w:type="paragraph" w:styleId="22">
    <w:name w:val="List Paragraph"/>
    <w:basedOn w:val="0"/>
    <w:next w:val="22"/>
    <w:link w:val="0"/>
    <w:uiPriority w:val="0"/>
    <w:qFormat/>
    <w:pPr>
      <w:ind w:left="840" w:leftChars="400"/>
    </w:p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character" w:styleId="30">
    <w:name w:val="Hyperlink"/>
    <w:basedOn w:val="10"/>
    <w:next w:val="30"/>
    <w:link w:val="0"/>
    <w:uiPriority w:val="0"/>
    <w:rPr>
      <w:color w:val="0000FF"/>
      <w:u w:val="single" w:color="auto"/>
    </w:rPr>
  </w:style>
  <w:style w:type="character" w:styleId="31" w:customStyle="1">
    <w:name w:val="スタイル12 Char"/>
    <w:basedOn w:val="10"/>
    <w:next w:val="31"/>
    <w:link w:val="32"/>
    <w:uiPriority w:val="0"/>
  </w:style>
  <w:style w:type="paragraph" w:styleId="32" w:customStyle="1">
    <w:name w:val="スタイル12"/>
    <w:basedOn w:val="0"/>
    <w:next w:val="32"/>
    <w:link w:val="31"/>
    <w:uiPriority w:val="0"/>
  </w:style>
  <w:style w:type="paragraph" w:styleId="33">
    <w:name w:val="Normal (Web)"/>
    <w:basedOn w:val="0"/>
    <w:next w:val="3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34">
    <w:name w:val="Revision"/>
    <w:next w:val="34"/>
    <w:link w:val="0"/>
    <w:uiPriority w:val="0"/>
    <w:rPr/>
  </w:style>
  <w:style w:type="paragraph" w:styleId="35" w:customStyle="1">
    <w:name w:val="スタイル1"/>
    <w:basedOn w:val="0"/>
    <w:next w:val="35"/>
    <w:link w:val="36"/>
    <w:uiPriority w:val="0"/>
    <w:qFormat/>
    <w:pPr>
      <w:keepNext w:val="1"/>
      <w:spacing w:before="120" w:beforeLines="0" w:beforeAutospacing="0" w:after="120" w:afterLines="0" w:afterAutospacing="0"/>
      <w:ind w:left="465" w:leftChars="100" w:right="210" w:rightChars="100" w:hanging="255" w:hangingChars="121"/>
      <w:jc w:val="left"/>
      <w:outlineLvl w:val="1"/>
    </w:pPr>
    <w:rPr>
      <w:rFonts w:ascii="ＭＳ 明朝" w:hAnsi="ＭＳ 明朝" w:eastAsia="ＭＳ 明朝"/>
      <w:b w:val="1"/>
    </w:rPr>
  </w:style>
  <w:style w:type="character" w:styleId="36" w:customStyle="1">
    <w:name w:val="スタイル1 (文字)"/>
    <w:basedOn w:val="10"/>
    <w:next w:val="36"/>
    <w:link w:val="35"/>
    <w:uiPriority w:val="0"/>
    <w:rPr>
      <w:rFonts w:ascii="ＭＳ 明朝" w:hAnsi="ＭＳ 明朝" w:eastAsia="ＭＳ 明朝"/>
      <w:b w:val="1"/>
    </w:rPr>
  </w:style>
  <w:style w:type="paragraph" w:styleId="37" w:customStyle="1">
    <w:name w:val="スタイル5"/>
    <w:basedOn w:val="0"/>
    <w:next w:val="37"/>
    <w:link w:val="39"/>
    <w:uiPriority w:val="0"/>
    <w:qFormat/>
    <w:pPr>
      <w:numPr>
        <w:ilvl w:val="0"/>
        <w:numId w:val="1"/>
      </w:numPr>
      <w:spacing w:before="240" w:beforeLines="0" w:beforeAutospacing="0" w:line="400" w:lineRule="exact"/>
      <w:jc w:val="left"/>
    </w:pPr>
    <w:rPr>
      <w:rFonts w:ascii="ＭＳ 明朝" w:hAnsi="ＭＳ 明朝" w:eastAsia="ＭＳ 明朝"/>
      <w:sz w:val="22"/>
    </w:rPr>
  </w:style>
  <w:style w:type="paragraph" w:styleId="38" w:customStyle="1">
    <w:name w:val="考察見出し"/>
    <w:basedOn w:val="0"/>
    <w:next w:val="38"/>
    <w:link w:val="41"/>
    <w:uiPriority w:val="0"/>
    <w:qFormat/>
    <w:pPr>
      <w:keepNext w:val="1"/>
      <w:spacing w:before="120" w:beforeLines="0" w:beforeAutospacing="0" w:after="120" w:afterLines="0" w:afterAutospacing="0"/>
      <w:ind w:left="100" w:leftChars="100" w:right="100" w:rightChars="100" w:hanging="121" w:hangingChars="121"/>
      <w:jc w:val="left"/>
      <w:outlineLvl w:val="1"/>
    </w:pPr>
    <w:rPr>
      <w:rFonts w:ascii="ＭＳ Ｐゴシック" w:hAnsi="ＭＳ Ｐゴシック" w:eastAsia="ＭＳ Ｐゴシック"/>
      <w:b w:val="1"/>
    </w:rPr>
  </w:style>
  <w:style w:type="character" w:styleId="39" w:customStyle="1">
    <w:name w:val="スタイル5 (文字)"/>
    <w:basedOn w:val="10"/>
    <w:next w:val="39"/>
    <w:link w:val="37"/>
    <w:uiPriority w:val="0"/>
    <w:rPr>
      <w:rFonts w:ascii="ＭＳ 明朝" w:hAnsi="ＭＳ 明朝" w:eastAsia="ＭＳ 明朝"/>
      <w:sz w:val="22"/>
    </w:rPr>
  </w:style>
  <w:style w:type="paragraph" w:styleId="40" w:customStyle="1">
    <w:name w:val="スタイル4"/>
    <w:basedOn w:val="37"/>
    <w:next w:val="40"/>
    <w:link w:val="43"/>
    <w:uiPriority w:val="0"/>
    <w:qFormat/>
  </w:style>
  <w:style w:type="character" w:styleId="41" w:customStyle="1">
    <w:name w:val="考察見出し (文字)"/>
    <w:basedOn w:val="10"/>
    <w:next w:val="41"/>
    <w:link w:val="38"/>
    <w:uiPriority w:val="0"/>
    <w:rPr>
      <w:rFonts w:ascii="ＭＳ Ｐゴシック" w:hAnsi="ＭＳ Ｐゴシック" w:eastAsia="ＭＳ Ｐゴシック"/>
      <w:b w:val="1"/>
    </w:rPr>
  </w:style>
  <w:style w:type="paragraph" w:styleId="42" w:customStyle="1">
    <w:name w:val="スタイル6"/>
    <w:basedOn w:val="1"/>
    <w:next w:val="42"/>
    <w:link w:val="44"/>
    <w:uiPriority w:val="0"/>
    <w:qFormat/>
    <w:pPr>
      <w:jc w:val="left"/>
    </w:pPr>
    <w:rPr>
      <w:rFonts w:eastAsia="ＭＳ 明朝"/>
      <w:b w:val="1"/>
      <w:sz w:val="32"/>
    </w:rPr>
  </w:style>
  <w:style w:type="character" w:styleId="43" w:customStyle="1">
    <w:name w:val="スタイル4 (文字)"/>
    <w:basedOn w:val="39"/>
    <w:next w:val="43"/>
    <w:link w:val="40"/>
    <w:uiPriority w:val="0"/>
    <w:rPr>
      <w:rFonts w:ascii="ＭＳ 明朝" w:hAnsi="ＭＳ 明朝" w:eastAsia="ＭＳ 明朝"/>
      <w:sz w:val="22"/>
    </w:rPr>
  </w:style>
  <w:style w:type="character" w:styleId="44" w:customStyle="1">
    <w:name w:val="スタイル6 (文字)"/>
    <w:basedOn w:val="45"/>
    <w:next w:val="44"/>
    <w:link w:val="42"/>
    <w:uiPriority w:val="0"/>
    <w:rPr>
      <w:rFonts w:eastAsia="ＭＳ 明朝" w:asciiTheme="majorHAnsi" w:hAnsiTheme="majorHAnsi"/>
      <w:b w:val="1"/>
      <w:sz w:val="32"/>
    </w:rPr>
  </w:style>
  <w:style w:type="character" w:styleId="45" w:customStyle="1">
    <w:name w:val="見出し 1 (文字)"/>
    <w:basedOn w:val="10"/>
    <w:next w:val="45"/>
    <w:link w:val="1"/>
    <w:uiPriority w:val="0"/>
    <w:rPr>
      <w:rFonts w:asciiTheme="majorHAnsi" w:hAnsiTheme="majorHAnsi" w:eastAsiaTheme="majorEastAsia"/>
      <w:sz w:val="24"/>
    </w:rPr>
  </w:style>
  <w:style w:type="paragraph" w:styleId="46" w:customStyle="1">
    <w:name w:val="スタイル2"/>
    <w:basedOn w:val="1"/>
    <w:next w:val="46"/>
    <w:link w:val="47"/>
    <w:uiPriority w:val="0"/>
    <w:qFormat/>
    <w:pPr>
      <w:keepNext w:val="0"/>
      <w:jc w:val="left"/>
    </w:pPr>
    <w:rPr>
      <w:rFonts w:ascii="ＭＳ ゴシック" w:hAnsi="ＭＳ ゴシック" w:eastAsia="ＭＳ ゴシック"/>
      <w:b w:val="1"/>
    </w:rPr>
  </w:style>
  <w:style w:type="character" w:styleId="47" w:customStyle="1">
    <w:name w:val="スタイル2 (文字)"/>
    <w:next w:val="47"/>
    <w:link w:val="46"/>
    <w:uiPriority w:val="0"/>
    <w:rPr>
      <w:rFonts w:ascii="ＭＳ ゴシック" w:hAnsi="ＭＳ ゴシック" w:eastAsia="ＭＳ ゴシック"/>
      <w:b w:val="1"/>
      <w:sz w:val="24"/>
    </w:rPr>
  </w:style>
  <w:style w:type="paragraph" w:styleId="48">
    <w:name w:val="footnote text"/>
    <w:basedOn w:val="0"/>
    <w:next w:val="48"/>
    <w:link w:val="49"/>
    <w:uiPriority w:val="0"/>
    <w:semiHidden/>
    <w:pPr>
      <w:snapToGrid w:val="0"/>
      <w:jc w:val="left"/>
    </w:pPr>
  </w:style>
  <w:style w:type="character" w:styleId="49" w:customStyle="1">
    <w:name w:val="脚注文字列 (文字)"/>
    <w:basedOn w:val="10"/>
    <w:next w:val="49"/>
    <w:link w:val="48"/>
    <w:uiPriority w:val="0"/>
  </w:style>
  <w:style w:type="character" w:styleId="50">
    <w:name w:val="footnote reference"/>
    <w:basedOn w:val="10"/>
    <w:next w:val="50"/>
    <w:link w:val="0"/>
    <w:uiPriority w:val="0"/>
    <w:semiHidden/>
    <w:rPr>
      <w:vertAlign w:val="superscript"/>
    </w:rPr>
  </w:style>
  <w:style w:type="character" w:styleId="51">
    <w:name w:val="endnote reference"/>
    <w:basedOn w:val="10"/>
    <w:next w:val="51"/>
    <w:link w:val="0"/>
    <w:uiPriority w:val="0"/>
    <w:semiHidden/>
    <w:rPr>
      <w:vertAlign w:val="superscript"/>
    </w:rPr>
  </w:style>
  <w:style w:type="table" w:styleId="52">
    <w:name w:val="Table Grid"/>
    <w:basedOn w:val="11"/>
    <w:next w:val="5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3" w:customStyle="1">
    <w:name w:val="表 (モノトーン)  21"/>
    <w:basedOn w:val="11"/>
    <w:next w:val="53"/>
    <w:link w:val="0"/>
    <w:uiPriority w:val="0"/>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0" w:space="0"/>
        <w:insideV w:val="none" w:color="auto" w:sz="0" w:space="0"/>
      </w:tblBorders>
    </w:tblPr>
    <w:trPr/>
    <w:tcPr/>
    <w:tblStylePr w:type="band1Horz">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band1Vert">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000000" w:themeColor="text1" w:sz="6" w:space="0"/>
          <w:bottom w:val="single" w:color="000000" w:themeColor="text1" w:sz="8" w:space="0"/>
          <w:left w:val="single" w:color="000000" w:themeColor="text1" w:sz="8" w:space="0"/>
          <w:right w:val="single" w:color="000000" w:themeColor="text1"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text1" w:themeFillTint="FF" w:themeFillShade="FF"/>
      </w:tcPr>
    </w:tblStylePr>
  </w:style>
  <w:style w:type="table" w:styleId="54" w:customStyle="1">
    <w:name w:val="表 (格子)1"/>
    <w:basedOn w:val="11"/>
    <w:next w:val="5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5">
    <w:name w:val="Light List"/>
    <w:basedOn w:val="11"/>
    <w:next w:val="55"/>
    <w:link w:val="0"/>
    <w:uiPriority w:val="0"/>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0" w:space="0"/>
        <w:insideV w:val="none" w:color="auto" w:sz="0" w:space="0"/>
      </w:tblBorders>
    </w:tblPr>
    <w:trPr/>
    <w:tcPr/>
    <w:tblStylePr w:type="band1Horz">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band1Vert">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000000" w:themeColor="text1" w:sz="6" w:space="0"/>
          <w:bottom w:val="single" w:color="000000" w:themeColor="text1" w:sz="8" w:space="0"/>
          <w:left w:val="single" w:color="000000" w:themeColor="text1" w:sz="8" w:space="0"/>
          <w:right w:val="single" w:color="000000" w:themeColor="text1"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text1" w:themeFillTint="FF"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7</Pages>
  <Words>326</Words>
  <Characters>6629</Characters>
  <Application>JUST Note</Application>
  <Lines>814</Lines>
  <Paragraphs>415</Paragraphs>
  <CharactersWithSpaces>6823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shidokansa184</cp:lastModifiedBy>
  <cp:lastPrinted>2017-03-29T04:40:00Z</cp:lastPrinted>
  <dcterms:created xsi:type="dcterms:W3CDTF">2017-04-17T01:50:00Z</dcterms:created>
  <dcterms:modified xsi:type="dcterms:W3CDTF">2021-05-25T02:00:00Z</dcterms:modified>
  <cp:revision>0</cp:revision>
</cp:coreProperties>
</file>