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60" w:lineRule="exact"/>
        <w:jc w:val="center"/>
        <w:rPr>
          <w:rFonts w:hint="default" w:ascii="ＭＳ 明朝" w:hAnsi="ＭＳ 明朝"/>
        </w:rPr>
      </w:pPr>
      <w:bookmarkStart w:id="0" w:name="_GoBack"/>
      <w:bookmarkEnd w:id="0"/>
      <w:r>
        <w:rPr>
          <w:rFonts w:hint="eastAsia" w:ascii="ＭＳ 明朝" w:hAnsi="ＭＳ 明朝" w:eastAsia="ＭＳ ゴシック"/>
          <w:b w:val="1"/>
          <w:color w:val="000000"/>
          <w:sz w:val="24"/>
        </w:rPr>
        <w:t>＜　</w:t>
      </w:r>
      <w:r>
        <w:rPr>
          <w:rFonts w:hint="eastAsia" w:ascii="ＭＳ 明朝" w:hAnsi="ＭＳ 明朝" w:eastAsia="ＭＳ ゴシック"/>
          <w:b w:val="1"/>
          <w:color w:val="000000"/>
          <w:sz w:val="24"/>
          <w:shd w:val="pct15" w:color="auto" w:fill="FFFFFF"/>
        </w:rPr>
        <w:t>介護予防通所リハビリテーションにおける事業所評価加算の概要</w:t>
      </w:r>
      <w:r>
        <w:rPr>
          <w:rFonts w:hint="eastAsia" w:ascii="ＭＳ 明朝" w:hAnsi="ＭＳ 明朝" w:eastAsia="ＭＳ ゴシック"/>
          <w:b w:val="1"/>
          <w:color w:val="000000"/>
          <w:sz w:val="24"/>
        </w:rPr>
        <w:t>　＞</w:t>
      </w:r>
    </w:p>
    <w:p>
      <w:pPr>
        <w:pStyle w:val="0"/>
        <w:adjustRightInd w:val="1"/>
        <w:spacing w:line="200" w:lineRule="exact"/>
        <w:jc w:val="both"/>
        <w:rPr>
          <w:rFonts w:hint="default" w:ascii="ＭＳ 明朝" w:hAnsi="ＭＳ 明朝"/>
        </w:rPr>
      </w:pPr>
    </w:p>
    <w:p>
      <w:pPr>
        <w:pStyle w:val="0"/>
        <w:adjustRightInd w:val="1"/>
        <w:spacing w:line="260" w:lineRule="exact"/>
        <w:jc w:val="both"/>
        <w:rPr>
          <w:rFonts w:hint="default" w:ascii="ＭＳ 明朝" w:hAnsi="ＭＳ 明朝"/>
        </w:rPr>
      </w:pPr>
      <w:r>
        <w:rPr>
          <w:rFonts w:hint="eastAsia" w:ascii="ＭＳ 明朝" w:hAnsi="ＭＳ 明朝" w:eastAsia="ＭＳ ゴシック"/>
          <w:b w:val="1"/>
          <w:color w:val="000000"/>
          <w:sz w:val="21"/>
        </w:rPr>
        <w:t>１　事業所評価加算のあらまし</w:t>
      </w:r>
    </w:p>
    <w:p>
      <w:pPr>
        <w:pStyle w:val="0"/>
        <w:adjustRightInd w:val="1"/>
        <w:spacing w:line="100" w:lineRule="exact"/>
        <w:jc w:val="both"/>
        <w:rPr>
          <w:rFonts w:hint="default" w:ascii="ＭＳ 明朝" w:hAnsi="ＭＳ 明朝"/>
        </w:rPr>
      </w:pPr>
    </w:p>
    <w:p>
      <w:pPr>
        <w:pStyle w:val="0"/>
        <w:adjustRightInd w:val="1"/>
        <w:spacing w:line="240" w:lineRule="exact"/>
        <w:jc w:val="both"/>
        <w:rPr>
          <w:rFonts w:hint="default" w:ascii="ＭＳ 明朝" w:hAnsi="ＭＳ 明朝"/>
        </w:rPr>
      </w:pPr>
      <w:r>
        <w:rPr>
          <w:rFonts w:hint="eastAsia" w:ascii="ＭＳ 明朝" w:hAnsi="ＭＳ 明朝" w:eastAsia="ＭＳ ゴシック"/>
          <w:b w:val="1"/>
          <w:color w:val="000000"/>
          <w:sz w:val="21"/>
        </w:rPr>
        <w:t>（１）加算の概要</w:t>
      </w:r>
    </w:p>
    <w:p>
      <w:pPr>
        <w:pStyle w:val="0"/>
        <w:adjustRightInd w:val="1"/>
        <w:spacing w:line="240" w:lineRule="exact"/>
        <w:ind w:left="424" w:hanging="420" w:hangingChars="200"/>
        <w:jc w:val="both"/>
        <w:rPr>
          <w:rFonts w:hint="default" w:ascii="ＭＳ 明朝" w:hAnsi="ＭＳ 明朝"/>
        </w:rPr>
      </w:pPr>
      <w:r>
        <w:rPr>
          <w:rFonts w:hint="eastAsia" w:ascii="Times New Roman" w:hAnsi="Times New Roman" w:eastAsia="ＭＳ 明朝"/>
          <w:color w:val="000000"/>
          <w:sz w:val="21"/>
        </w:rPr>
        <w:t>　　　事業所評価加算は、介護予防通所リハビリテーションにおける選択的サービス（運動器機能向上サービス、栄養改善サービス、口腔機能向上サービス）を行う介護予防通所リハビリ事業所について、効果的なサービスの提供を評価する観点から、評価対象期間（各年１月１日から１２月３１日までの期間）において、利用者の要支援状態の維持・改善の割合が一定以上となった場合に、当該評価対象期間の翌年度における介護予防通所リハビリの提供につき１ヶ月あたり</w:t>
      </w:r>
      <w:r>
        <w:rPr>
          <w:rFonts w:hint="eastAsia" w:ascii="ＭＳ ゴシック" w:hAnsi="ＭＳ ゴシック" w:eastAsia="ＭＳ ゴシック"/>
          <w:b w:val="1"/>
          <w:color w:val="000000"/>
          <w:sz w:val="21"/>
        </w:rPr>
        <w:t>１２０単位</w:t>
      </w:r>
      <w:r>
        <w:rPr>
          <w:rFonts w:hint="eastAsia" w:ascii="Times New Roman" w:hAnsi="Times New Roman" w:eastAsia="ＭＳ 明朝"/>
          <w:color w:val="000000"/>
          <w:sz w:val="21"/>
        </w:rPr>
        <w:t>の加算を行うものである。</w:t>
      </w:r>
    </w:p>
    <w:p>
      <w:pPr>
        <w:pStyle w:val="0"/>
        <w:adjustRightInd w:val="1"/>
        <w:spacing w:line="100" w:lineRule="exact"/>
        <w:jc w:val="both"/>
        <w:rPr>
          <w:rFonts w:hint="default" w:ascii="ＭＳ 明朝" w:hAnsi="ＭＳ 明朝"/>
        </w:rPr>
      </w:pPr>
    </w:p>
    <w:p>
      <w:pPr>
        <w:pStyle w:val="0"/>
        <w:adjustRightInd w:val="1"/>
        <w:spacing w:line="240" w:lineRule="exact"/>
        <w:jc w:val="both"/>
        <w:rPr>
          <w:rFonts w:hint="default" w:ascii="ＭＳ 明朝" w:hAnsi="ＭＳ 明朝"/>
        </w:rPr>
      </w:pPr>
      <w:r>
        <w:rPr>
          <w:rFonts w:hint="eastAsia" w:ascii="ＭＳ 明朝" w:hAnsi="ＭＳ 明朝" w:eastAsia="ＭＳ ゴシック"/>
          <w:b w:val="1"/>
          <w:color w:val="000000"/>
          <w:sz w:val="21"/>
        </w:rPr>
        <w:t>（２）事業所の適合要件</w:t>
      </w:r>
    </w:p>
    <w:p>
      <w:pPr>
        <w:pStyle w:val="0"/>
        <w:adjustRightInd w:val="1"/>
        <w:spacing w:line="240" w:lineRule="exact"/>
        <w:jc w:val="both"/>
        <w:rPr>
          <w:rFonts w:hint="default" w:ascii="ＭＳ 明朝" w:hAnsi="ＭＳ 明朝"/>
        </w:rPr>
      </w:pPr>
      <w:r>
        <w:rPr>
          <w:rFonts w:hint="eastAsia" w:ascii="Times New Roman" w:hAnsi="Times New Roman" w:eastAsia="ＭＳ 明朝"/>
          <w:color w:val="000000"/>
          <w:sz w:val="21"/>
        </w:rPr>
        <w:t>　　　事業所評価加算の申出（各年１０月１５日まで）を行っている事業所において、</w:t>
      </w:r>
    </w:p>
    <w:p>
      <w:pPr>
        <w:pStyle w:val="0"/>
        <w:adjustRightInd w:val="1"/>
        <w:spacing w:line="240" w:lineRule="exact"/>
        <w:jc w:val="both"/>
        <w:rPr>
          <w:rFonts w:hint="default" w:ascii="ＭＳ 明朝" w:hAnsi="ＭＳ 明朝"/>
        </w:rPr>
      </w:pPr>
      <w:r>
        <w:rPr>
          <w:rFonts w:hint="eastAsia" w:ascii="Times New Roman" w:hAnsi="Times New Roman" w:eastAsia="ＭＳ 明朝"/>
          <w:color w:val="000000"/>
          <w:sz w:val="21"/>
        </w:rPr>
        <w:t>　　要支援者のうち、</w:t>
      </w:r>
    </w:p>
    <w:p>
      <w:pPr>
        <w:pStyle w:val="0"/>
        <w:numPr>
          <w:ilvl w:val="0"/>
          <w:numId w:val="1"/>
        </w:numPr>
        <w:adjustRightInd w:val="1"/>
        <w:spacing w:line="240" w:lineRule="exact"/>
        <w:jc w:val="both"/>
        <w:rPr>
          <w:rFonts w:hint="default" w:ascii="ＭＳ 明朝" w:hAnsi="ＭＳ 明朝"/>
        </w:rPr>
      </w:pPr>
      <w:r>
        <w:rPr>
          <w:rFonts w:hint="eastAsia" w:ascii="Times New Roman" w:hAnsi="Times New Roman" w:eastAsia="ＭＳ 明朝"/>
          <w:color w:val="000000"/>
          <w:sz w:val="21"/>
        </w:rPr>
        <w:t>　選択的サービス（運動器機能向上、栄養改善、口腔機能向上のいずれか）を連続して</w:t>
      </w:r>
    </w:p>
    <w:p>
      <w:pPr>
        <w:pStyle w:val="0"/>
        <w:adjustRightInd w:val="1"/>
        <w:spacing w:line="240" w:lineRule="exact"/>
        <w:ind w:left="630" w:firstLine="210" w:firstLineChars="100"/>
        <w:jc w:val="both"/>
        <w:rPr>
          <w:rFonts w:hint="default" w:ascii="ＭＳ 明朝" w:hAnsi="ＭＳ 明朝"/>
        </w:rPr>
      </w:pPr>
      <w:r>
        <w:rPr>
          <w:rFonts w:hint="eastAsia" w:ascii="Times New Roman" w:hAnsi="Times New Roman" w:eastAsia="ＭＳ 明朝"/>
          <w:color w:val="000000"/>
          <w:sz w:val="21"/>
        </w:rPr>
        <w:t>３ヶ月以上利用した実人数が、当該事業所に１０人以上いること。</w:t>
      </w:r>
    </w:p>
    <w:p>
      <w:pPr>
        <w:pStyle w:val="0"/>
        <w:numPr>
          <w:ilvl w:val="0"/>
          <w:numId w:val="1"/>
        </w:numPr>
        <w:adjustRightInd w:val="1"/>
        <w:spacing w:line="240" w:lineRule="exact"/>
        <w:jc w:val="both"/>
        <w:rPr>
          <w:rFonts w:hint="default" w:ascii="ＭＳ 明朝" w:hAnsi="ＭＳ 明朝"/>
        </w:rPr>
      </w:pPr>
      <w:r>
        <w:rPr>
          <w:rFonts w:hint="eastAsia" w:ascii="Times New Roman" w:hAnsi="Times New Roman" w:eastAsia="ＭＳ 明朝"/>
          <w:color w:val="000000"/>
          <w:sz w:val="21"/>
        </w:rPr>
        <w:t>　選択的サービスの利用実人員数を当該事業所の利用実人員数で除して得た数が一定の</w:t>
      </w:r>
    </w:p>
    <w:p>
      <w:pPr>
        <w:pStyle w:val="0"/>
        <w:adjustRightInd w:val="1"/>
        <w:spacing w:line="240" w:lineRule="exact"/>
        <w:ind w:left="630" w:firstLine="210" w:firstLineChars="100"/>
        <w:jc w:val="both"/>
        <w:rPr>
          <w:rFonts w:hint="default" w:ascii="ＭＳ 明朝" w:hAnsi="ＭＳ 明朝"/>
        </w:rPr>
      </w:pPr>
      <w:r>
        <w:rPr>
          <w:rFonts w:hint="eastAsia" w:ascii="ＭＳ 明朝" w:hAnsi="ＭＳ 明朝" w:eastAsia="ＭＳ 明朝"/>
          <w:color w:val="000000"/>
          <w:sz w:val="21"/>
        </w:rPr>
        <w:t>割合</w:t>
      </w:r>
      <w:r>
        <w:rPr>
          <w:rFonts w:hint="eastAsia" w:ascii="Times New Roman" w:hAnsi="Times New Roman" w:eastAsia="ＭＳ 明朝"/>
          <w:color w:val="000000"/>
          <w:sz w:val="21"/>
        </w:rPr>
        <w:t>合以上であること。</w:t>
      </w:r>
    </w:p>
    <w:tbl>
      <w:tblPr>
        <w:tblStyle w:val="11"/>
        <w:tblW w:w="0" w:type="auto"/>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7"/>
        <w:gridCol w:w="529"/>
        <w:gridCol w:w="4653"/>
        <w:gridCol w:w="318"/>
        <w:gridCol w:w="2961"/>
      </w:tblGrid>
      <w:tr>
        <w:trPr/>
        <w:tc>
          <w:tcPr>
            <w:tcW w:w="8778" w:type="dxa"/>
            <w:gridSpan w:val="5"/>
            <w:tcBorders>
              <w:top w:val="dashed"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rPr>
            </w:pPr>
          </w:p>
          <w:p>
            <w:pPr>
              <w:pStyle w:val="0"/>
              <w:suppressAutoHyphens w:val="1"/>
              <w:kinsoku w:val="0"/>
              <w:autoSpaceDE w:val="0"/>
              <w:autoSpaceDN w:val="0"/>
              <w:spacing w:line="22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ＭＳ 明朝" w:hAnsi="ＭＳ 明朝" w:eastAsia="ＭＳ ゴシック"/>
                <w:b w:val="1"/>
                <w:color w:val="000000"/>
                <w:sz w:val="21"/>
              </w:rPr>
              <w:t>＜</w:t>
            </w:r>
            <w:r>
              <w:rPr>
                <w:rFonts w:hint="eastAsia" w:ascii="ＭＳ ゴシック" w:hAnsi="ＭＳ ゴシック" w:eastAsia="ＭＳ 明朝"/>
                <w:b w:val="1"/>
                <w:color w:val="000000"/>
                <w:sz w:val="21"/>
              </w:rPr>
              <w:t xml:space="preserve"> </w:t>
            </w:r>
            <w:r>
              <w:rPr>
                <w:rFonts w:hint="eastAsia" w:ascii="ＭＳ 明朝" w:hAnsi="ＭＳ 明朝" w:eastAsia="ＭＳ ゴシック"/>
                <w:b w:val="1"/>
                <w:color w:val="000000"/>
                <w:sz w:val="21"/>
              </w:rPr>
              <w:t>算出式　＞</w:t>
            </w:r>
            <w:r>
              <w:rPr>
                <w:rFonts w:hint="eastAsia" w:ascii="Times New Roman" w:hAnsi="Times New Roman" w:eastAsia="ＭＳ 明朝"/>
                <w:color w:val="000000"/>
                <w:sz w:val="21"/>
              </w:rPr>
              <w:t xml:space="preserve"> </w:t>
            </w:r>
          </w:p>
          <w:p>
            <w:pPr>
              <w:pStyle w:val="0"/>
              <w:suppressAutoHyphens w:val="1"/>
              <w:kinsoku w:val="0"/>
              <w:autoSpaceDE w:val="0"/>
              <w:autoSpaceDN w:val="0"/>
              <w:spacing w:line="220" w:lineRule="exact"/>
              <w:jc w:val="left"/>
              <w:rPr>
                <w:rFonts w:hint="default" w:ascii="ＭＳ 明朝" w:hAnsi="ＭＳ 明朝"/>
              </w:rPr>
            </w:pPr>
          </w:p>
        </w:tc>
      </w:tr>
      <w:tr>
        <w:trPr/>
        <w:tc>
          <w:tcPr>
            <w:tcW w:w="846" w:type="dxa"/>
            <w:gridSpan w:val="2"/>
            <w:tcBorders>
              <w:top w:val="nil"/>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c>
          <w:tcPr>
            <w:tcW w:w="4653"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r>
              <w:rPr>
                <w:rFonts w:hint="eastAsia" w:ascii="Times New Roman" w:hAnsi="Times New Roman" w:eastAsia="ＭＳ 明朝"/>
                <w:color w:val="000000"/>
                <w:sz w:val="18"/>
              </w:rPr>
              <w:t>　評価対象期間内に選択的サービスを利用した者の数</w:t>
            </w:r>
          </w:p>
        </w:tc>
        <w:tc>
          <w:tcPr>
            <w:tcW w:w="3279" w:type="dxa"/>
            <w:gridSpan w:val="2"/>
            <w:tcBorders>
              <w:top w:val="nil"/>
              <w:left w:val="single" w:color="000000" w:sz="12"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r>
      <w:tr>
        <w:trPr>
          <w:trHeight w:val="210" w:hRule="atLeast"/>
        </w:trPr>
        <w:tc>
          <w:tcPr>
            <w:tcW w:w="317" w:type="dxa"/>
            <w:vMerge w:val="restart"/>
            <w:tcBorders>
              <w:top w:val="nil"/>
              <w:left w:val="dashed" w:color="000000" w:sz="4" w:space="0"/>
              <w:bottom w:val="single" w:color="auto" w:sz="4" w:space="0"/>
              <w:right w:val="nil"/>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c>
          <w:tcPr>
            <w:tcW w:w="5500" w:type="dxa"/>
            <w:gridSpan w:val="3"/>
            <w:tcBorders>
              <w:top w:val="nil"/>
              <w:left w:val="nil"/>
              <w:bottom w:val="single" w:color="auto" w:sz="4" w:space="0"/>
              <w:right w:val="nil"/>
              <w:tl2br w:val="none" w:color="auto" w:sz="0" w:space="0"/>
              <w:tr2bl w:val="none" w:color="auto" w:sz="0" w:space="0"/>
            </w:tcBorders>
            <w:vAlign w:val="top"/>
          </w:tcPr>
          <w:p>
            <w:pPr>
              <w:pStyle w:val="0"/>
              <w:suppressAutoHyphens w:val="1"/>
              <w:kinsoku w:val="0"/>
              <w:autoSpaceDE w:val="0"/>
              <w:autoSpaceDN w:val="0"/>
              <w:spacing w:line="100" w:lineRule="exact"/>
              <w:jc w:val="left"/>
              <w:rPr>
                <w:rFonts w:hint="default" w:ascii="ＭＳ 明朝" w:hAnsi="ＭＳ 明朝"/>
              </w:rPr>
            </w:pPr>
          </w:p>
          <w:p>
            <w:pPr>
              <w:pStyle w:val="0"/>
              <w:suppressAutoHyphens w:val="1"/>
              <w:kinsoku w:val="0"/>
              <w:autoSpaceDE w:val="0"/>
              <w:autoSpaceDN w:val="0"/>
              <w:spacing w:line="100" w:lineRule="exact"/>
              <w:jc w:val="left"/>
              <w:rPr>
                <w:rFonts w:hint="default" w:ascii="ＭＳ 明朝" w:hAnsi="ＭＳ 明朝"/>
              </w:rPr>
            </w:pPr>
          </w:p>
        </w:tc>
        <w:tc>
          <w:tcPr>
            <w:tcW w:w="2961" w:type="dxa"/>
            <w:vMerge w:val="restart"/>
            <w:tcBorders>
              <w:top w:val="nil"/>
              <w:left w:val="nil"/>
              <w:bottom w:val="single" w:color="auto"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r>
              <w:rPr>
                <w:rFonts w:ascii="Times New Roman" w:hAnsi="Times New Roman" w:eastAsia="ＭＳ 明朝"/>
                <w:color w:val="000000"/>
                <w:sz w:val="21"/>
              </w:rPr>
              <mc:AlternateContent>
                <mc:Choice Requires="wps">
                  <w:drawing>
                    <wp:anchor simplePos="0" relativeHeight="2" behindDoc="0" locked="0" layoutInCell="1" hidden="0" allowOverlap="1">
                      <wp:simplePos x="0" y="0"/>
                      <wp:positionH relativeFrom="column">
                        <wp:posOffset>174625</wp:posOffset>
                      </wp:positionH>
                      <wp:positionV relativeFrom="paragraph">
                        <wp:posOffset>-10160</wp:posOffset>
                      </wp:positionV>
                      <wp:extent cx="914400" cy="285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914400" cy="285750"/>
                              </a:xfrm>
                              <a:prstGeom prst="rect"/>
                              <a:solidFill>
                                <a:srgbClr val="FFFFFF"/>
                              </a:solidFill>
                              <a:ln w="9525">
                                <a:solidFill>
                                  <a:srgbClr val="FFFFFF"/>
                                </a:solidFill>
                                <a:miter/>
                              </a:ln>
                            </wps:spPr>
                            <wps:txbx>
                              <w:txbxContent>
                                <w:p>
                                  <w:pPr>
                                    <w:pStyle w:val="0"/>
                                    <w:jc w:val="both"/>
                                  </w:pPr>
                                  <w:r>
                                    <w:rPr>
                                      <w:rFonts w:hint="eastAsia" w:ascii="ＭＳ 明朝" w:hAnsi="ＭＳ 明朝" w:eastAsia="ＭＳ Ｐゴシック"/>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b w:val="1"/>
                                      <w:color w:val="000000"/>
                                      <w:sz w:val="21"/>
                                      <w:u w:val="thick" w:color="000000"/>
                                    </w:rPr>
                                    <w:t>０．６</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0.8pt;mso-position-vertical-relative:text;mso-position-horizontal-relative:text;position:absolute;height:22.5pt;width:72pt;margin-left:13.75pt;z-index:2;" o:allowincell="t" filled="t" fillcolor="#ffffff" stroked="t" strokecolor="#ffffff" strokeweight="0.75pt" o:spt="202" type="#_x0000_t202">
                      <v:fill/>
                      <v:stroke filltype="solid"/>
                      <v:textbox style="layout-flow:horizontal;" inset="2.0637499999999998mm,0.24694444444444438mm,2.0637499999999998mm,0.24694444444444438mm">
                        <w:txbxContent>
                          <w:p>
                            <w:pPr>
                              <w:pStyle w:val="0"/>
                              <w:jc w:val="both"/>
                            </w:pPr>
                            <w:r>
                              <w:rPr>
                                <w:rFonts w:hint="eastAsia" w:ascii="ＭＳ 明朝" w:hAnsi="ＭＳ 明朝" w:eastAsia="ＭＳ Ｐゴシック"/>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b w:val="1"/>
                                <w:color w:val="000000"/>
                                <w:sz w:val="21"/>
                                <w:u w:val="thick" w:color="000000"/>
                              </w:rPr>
                              <w:t>０．６</w:t>
                            </w:r>
                          </w:p>
                        </w:txbxContent>
                      </v:textbox>
                      <v:imagedata o:title=""/>
                      <w10:wrap type="none" anchorx="text" anchory="text"/>
                    </v:shape>
                  </w:pict>
                </mc:Fallback>
              </mc:AlternateContent>
            </w:r>
            <w:r>
              <w:rPr>
                <w:rFonts w:hint="eastAsia" w:ascii="Times New Roman" w:hAnsi="Times New Roman" w:eastAsia="ＭＳ 明朝"/>
                <w:color w:val="000000"/>
                <w:sz w:val="21"/>
              </w:rPr>
              <w:t xml:space="preserve">   </w:t>
            </w:r>
          </w:p>
        </w:tc>
      </w:tr>
      <w:tr>
        <w:trPr>
          <w:trHeight w:val="98" w:hRule="atLeast"/>
        </w:trPr>
        <w:tc>
          <w:tcPr>
            <w:tcW w:w="317" w:type="dxa"/>
            <w:vMerge w:val="continue"/>
            <w:tcBorders>
              <w:top w:val="single" w:color="auto" w:sz="4" w:space="0"/>
              <w:left w:val="dashed" w:color="000000" w:sz="4" w:space="0"/>
              <w:bottom w:val="nil"/>
              <w:right w:val="nil"/>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c>
          <w:tcPr>
            <w:tcW w:w="5500" w:type="dxa"/>
            <w:gridSpan w:val="3"/>
            <w:tcBorders>
              <w:top w:val="single" w:color="auto" w:sz="4" w:space="0"/>
              <w:left w:val="nil"/>
              <w:bottom w:val="nil"/>
              <w:right w:val="nil"/>
              <w:tl2br w:val="none" w:color="auto" w:sz="0" w:space="0"/>
              <w:tr2bl w:val="none" w:color="auto" w:sz="0" w:space="0"/>
            </w:tcBorders>
            <w:vAlign w:val="top"/>
          </w:tcPr>
          <w:p>
            <w:pPr>
              <w:pStyle w:val="0"/>
              <w:suppressAutoHyphens w:val="1"/>
              <w:kinsoku w:val="0"/>
              <w:autoSpaceDE w:val="0"/>
              <w:autoSpaceDN w:val="0"/>
              <w:spacing w:line="100" w:lineRule="exact"/>
              <w:jc w:val="left"/>
              <w:rPr>
                <w:rFonts w:hint="default" w:ascii="ＭＳ 明朝" w:hAnsi="ＭＳ 明朝"/>
              </w:rPr>
            </w:pPr>
          </w:p>
          <w:p>
            <w:pPr>
              <w:pStyle w:val="0"/>
              <w:suppressAutoHyphens w:val="1"/>
              <w:kinsoku w:val="0"/>
              <w:autoSpaceDE w:val="0"/>
              <w:autoSpaceDN w:val="0"/>
              <w:spacing w:line="100" w:lineRule="exact"/>
              <w:jc w:val="left"/>
              <w:rPr>
                <w:rFonts w:hint="default" w:ascii="ＭＳ 明朝" w:hAnsi="ＭＳ 明朝"/>
              </w:rPr>
            </w:pPr>
          </w:p>
        </w:tc>
        <w:tc>
          <w:tcPr>
            <w:tcW w:w="2961" w:type="dxa"/>
            <w:vMerge w:val="continue"/>
            <w:tcBorders>
              <w:top w:val="single" w:color="auto" w:sz="4" w:space="0"/>
              <w:left w:val="nil"/>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pPr>
          </w:p>
        </w:tc>
      </w:tr>
      <w:tr>
        <w:trPr/>
        <w:tc>
          <w:tcPr>
            <w:tcW w:w="846" w:type="dxa"/>
            <w:gridSpan w:val="2"/>
            <w:tcBorders>
              <w:top w:val="nil"/>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p>
            <w:pPr>
              <w:pStyle w:val="0"/>
              <w:suppressAutoHyphens w:val="1"/>
              <w:kinsoku w:val="0"/>
              <w:autoSpaceDE w:val="0"/>
              <w:autoSpaceDN w:val="0"/>
              <w:spacing w:line="220" w:lineRule="exact"/>
              <w:jc w:val="left"/>
              <w:rPr>
                <w:rFonts w:hint="default" w:ascii="ＭＳ 明朝" w:hAnsi="ＭＳ 明朝"/>
              </w:rPr>
            </w:pPr>
          </w:p>
        </w:tc>
        <w:tc>
          <w:tcPr>
            <w:tcW w:w="4653"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ind w:left="182" w:hanging="210" w:hangingChars="100"/>
              <w:jc w:val="left"/>
              <w:rPr>
                <w:rFonts w:hint="default" w:ascii="ＭＳ 明朝" w:hAnsi="ＭＳ 明朝"/>
              </w:rPr>
            </w:pPr>
            <w:r>
              <w:rPr>
                <w:rFonts w:hint="eastAsia" w:ascii="Times New Roman" w:hAnsi="Times New Roman" w:eastAsia="ＭＳ 明朝"/>
                <w:color w:val="000000"/>
                <w:sz w:val="18"/>
              </w:rPr>
              <w:t>　評価対象期間内に介護予防通所リハビリテーションをそれぞれ利用した者の数</w:t>
            </w:r>
          </w:p>
        </w:tc>
        <w:tc>
          <w:tcPr>
            <w:tcW w:w="3279" w:type="dxa"/>
            <w:gridSpan w:val="2"/>
            <w:tcBorders>
              <w:top w:val="nil"/>
              <w:left w:val="single" w:color="000000" w:sz="12"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p>
            <w:pPr>
              <w:pStyle w:val="0"/>
              <w:suppressAutoHyphens w:val="1"/>
              <w:kinsoku w:val="0"/>
              <w:autoSpaceDE w:val="0"/>
              <w:autoSpaceDN w:val="0"/>
              <w:spacing w:line="220" w:lineRule="exact"/>
              <w:jc w:val="left"/>
              <w:rPr>
                <w:rFonts w:hint="default" w:ascii="ＭＳ 明朝" w:hAnsi="ＭＳ 明朝"/>
              </w:rPr>
            </w:pPr>
          </w:p>
        </w:tc>
      </w:tr>
      <w:tr>
        <w:trPr>
          <w:trHeight w:val="50" w:hRule="atLeast"/>
        </w:trPr>
        <w:tc>
          <w:tcPr>
            <w:tcW w:w="8778" w:type="dxa"/>
            <w:gridSpan w:val="5"/>
            <w:tcBorders>
              <w:top w:val="nil"/>
              <w:left w:val="dashed"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rPr>
            </w:pPr>
          </w:p>
        </w:tc>
      </w:tr>
    </w:tbl>
    <w:p>
      <w:pPr>
        <w:pStyle w:val="0"/>
        <w:adjustRightInd w:val="1"/>
        <w:spacing w:line="100" w:lineRule="exact"/>
        <w:jc w:val="both"/>
        <w:rPr>
          <w:rFonts w:hint="default" w:ascii="ＭＳ 明朝" w:hAnsi="ＭＳ 明朝"/>
        </w:rPr>
      </w:pPr>
    </w:p>
    <w:p>
      <w:pPr>
        <w:pStyle w:val="0"/>
        <w:adjustRightInd w:val="1"/>
        <w:spacing w:line="100" w:lineRule="exact"/>
        <w:jc w:val="both"/>
        <w:rPr>
          <w:rFonts w:hint="default" w:ascii="ＭＳ 明朝" w:hAnsi="ＭＳ 明朝"/>
        </w:rPr>
      </w:pPr>
    </w:p>
    <w:p>
      <w:pPr>
        <w:pStyle w:val="0"/>
        <w:numPr>
          <w:ilvl w:val="0"/>
          <w:numId w:val="1"/>
        </w:numPr>
        <w:adjustRightInd w:val="1"/>
        <w:spacing w:line="220" w:lineRule="exact"/>
        <w:jc w:val="both"/>
        <w:rPr>
          <w:rFonts w:hint="default" w:ascii="ＭＳ 明朝" w:hAnsi="ＭＳ 明朝"/>
        </w:rPr>
      </w:pPr>
      <w:r>
        <w:rPr>
          <w:rFonts w:hint="eastAsia" w:ascii="Times New Roman" w:hAnsi="Times New Roman" w:eastAsia="ＭＳ 明朝"/>
          <w:color w:val="000000"/>
          <w:sz w:val="21"/>
        </w:rPr>
        <w:t>　その後１０月末日までに要支援認定の更新又は変更認定を受けた者で、要支援状態が改善又は維持した者の数が、当該事業所の実利用者数と比較して一定の割合以上であること。</w:t>
      </w:r>
    </w:p>
    <w:tbl>
      <w:tblPr>
        <w:tblStyle w:val="11"/>
        <w:tblW w:w="0" w:type="auto"/>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12"/>
        <w:gridCol w:w="105"/>
        <w:gridCol w:w="423"/>
        <w:gridCol w:w="2856"/>
        <w:gridCol w:w="529"/>
        <w:gridCol w:w="1374"/>
        <w:gridCol w:w="1692"/>
        <w:gridCol w:w="106"/>
        <w:gridCol w:w="1481"/>
      </w:tblGrid>
      <w:tr>
        <w:trPr/>
        <w:tc>
          <w:tcPr>
            <w:tcW w:w="8778" w:type="dxa"/>
            <w:gridSpan w:val="9"/>
            <w:tcBorders>
              <w:top w:val="dashed"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rPr>
            </w:pPr>
          </w:p>
          <w:p>
            <w:pPr>
              <w:pStyle w:val="0"/>
              <w:suppressAutoHyphens w:val="1"/>
              <w:kinsoku w:val="0"/>
              <w:autoSpaceDE w:val="0"/>
              <w:autoSpaceDN w:val="0"/>
              <w:spacing w:line="22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ＭＳ 明朝" w:hAnsi="ＭＳ 明朝" w:eastAsia="ＭＳ ゴシック"/>
                <w:b w:val="1"/>
                <w:color w:val="000000"/>
                <w:sz w:val="21"/>
              </w:rPr>
              <w:t>＜</w:t>
            </w:r>
            <w:r>
              <w:rPr>
                <w:rFonts w:hint="eastAsia" w:ascii="ＭＳ ゴシック" w:hAnsi="ＭＳ ゴシック" w:eastAsia="ＭＳ 明朝"/>
                <w:b w:val="1"/>
                <w:color w:val="000000"/>
                <w:sz w:val="21"/>
              </w:rPr>
              <w:t xml:space="preserve"> </w:t>
            </w:r>
            <w:r>
              <w:rPr>
                <w:rFonts w:hint="eastAsia" w:ascii="ＭＳ 明朝" w:hAnsi="ＭＳ 明朝" w:eastAsia="ＭＳ ゴシック"/>
                <w:b w:val="1"/>
                <w:color w:val="000000"/>
                <w:sz w:val="21"/>
              </w:rPr>
              <w:t>算出式　＞</w:t>
            </w:r>
            <w:r>
              <w:rPr>
                <w:rFonts w:hint="eastAsia" w:ascii="Times New Roman" w:hAnsi="Times New Roman" w:eastAsia="ＭＳ 明朝"/>
                <w:color w:val="000000"/>
                <w:sz w:val="21"/>
              </w:rPr>
              <w:t xml:space="preserve">        </w:t>
            </w:r>
          </w:p>
          <w:p>
            <w:pPr>
              <w:pStyle w:val="0"/>
              <w:suppressAutoHyphens w:val="1"/>
              <w:kinsoku w:val="0"/>
              <w:autoSpaceDE w:val="0"/>
              <w:autoSpaceDN w:val="0"/>
              <w:spacing w:line="22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w:t>
            </w:r>
          </w:p>
        </w:tc>
      </w:tr>
      <w:tr>
        <w:trPr/>
        <w:tc>
          <w:tcPr>
            <w:tcW w:w="740" w:type="dxa"/>
            <w:gridSpan w:val="3"/>
            <w:tcBorders>
              <w:top w:val="nil"/>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c>
          <w:tcPr>
            <w:tcW w:w="285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18"/>
              </w:rPr>
              <w:t>要支援状態区分の維持者数</w:t>
            </w:r>
          </w:p>
        </w:tc>
        <w:tc>
          <w:tcPr>
            <w:tcW w:w="529" w:type="dxa"/>
            <w:tcBorders>
              <w:top w:val="nil"/>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18"/>
              </w:rPr>
              <w:t>＋</w:t>
            </w:r>
          </w:p>
        </w:tc>
        <w:tc>
          <w:tcPr>
            <w:tcW w:w="137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18"/>
              </w:rPr>
              <w:t>改善者数×２</w:t>
            </w:r>
          </w:p>
        </w:tc>
        <w:tc>
          <w:tcPr>
            <w:tcW w:w="3279" w:type="dxa"/>
            <w:gridSpan w:val="3"/>
            <w:tcBorders>
              <w:top w:val="nil"/>
              <w:left w:val="single" w:color="000000" w:sz="12"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r>
              <w:rPr>
                <w:rFonts w:ascii="Times New Roman" w:hAnsi="Times New Roman" w:eastAsia="ＭＳ 明朝"/>
                <w:color w:val="000000"/>
                <w:sz w:val="21"/>
              </w:rPr>
              <mc:AlternateContent>
                <mc:Choice Requires="wps">
                  <w:drawing>
                    <wp:anchor simplePos="0" relativeHeight="3" behindDoc="0" locked="0" layoutInCell="1" hidden="0" allowOverlap="1">
                      <wp:simplePos x="0" y="0"/>
                      <wp:positionH relativeFrom="column">
                        <wp:posOffset>1224280</wp:posOffset>
                      </wp:positionH>
                      <wp:positionV relativeFrom="paragraph">
                        <wp:posOffset>135890</wp:posOffset>
                      </wp:positionV>
                      <wp:extent cx="742950" cy="2476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742950" cy="247650"/>
                              </a:xfrm>
                              <a:prstGeom prst="rect"/>
                              <a:solidFill>
                                <a:srgbClr val="FFFFFF"/>
                              </a:solidFill>
                              <a:ln w="9525">
                                <a:solidFill>
                                  <a:srgbClr val="FFFFFF"/>
                                </a:solidFill>
                                <a:miter/>
                              </a:ln>
                            </wps:spPr>
                            <wps:txbx>
                              <w:txbxContent>
                                <w:p>
                                  <w:pPr>
                                    <w:pStyle w:val="0"/>
                                    <w:jc w:val="both"/>
                                  </w:pPr>
                                  <w:r>
                                    <w:rPr>
                                      <w:rFonts w:hint="eastAsia" w:ascii="ＭＳ 明朝" w:hAnsi="ＭＳ 明朝" w:eastAsia="ＭＳ Ｐゴシック"/>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b w:val="1"/>
                                      <w:color w:val="000000"/>
                                      <w:sz w:val="21"/>
                                      <w:u w:val="thick" w:color="000000"/>
                                    </w:rPr>
                                    <w:t>０．７</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7" style="margin-top:10.7pt;mso-position-vertical-relative:text;mso-position-horizontal-relative:text;position:absolute;height:19.5pt;width:58.5pt;margin-left:96.4pt;z-index:3;" o:allowincell="t" filled="t" fillcolor="#ffffff" stroked="t" strokecolor="#ffffff" strokeweight="0.75pt" o:spt="202" type="#_x0000_t202">
                      <v:fill/>
                      <v:stroke filltype="solid"/>
                      <v:textbox style="layout-flow:horizontal;" inset="2.0637499999999998mm,0.24694444444444438mm,2.0637499999999998mm,0.24694444444444438mm">
                        <w:txbxContent>
                          <w:p>
                            <w:pPr>
                              <w:pStyle w:val="0"/>
                              <w:jc w:val="both"/>
                            </w:pPr>
                            <w:r>
                              <w:rPr>
                                <w:rFonts w:hint="eastAsia" w:ascii="ＭＳ 明朝" w:hAnsi="ＭＳ 明朝" w:eastAsia="ＭＳ Ｐゴシック"/>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b w:val="1"/>
                                <w:color w:val="000000"/>
                                <w:sz w:val="21"/>
                                <w:u w:val="thick" w:color="000000"/>
                              </w:rPr>
                              <w:t>０．７</w:t>
                            </w:r>
                          </w:p>
                        </w:txbxContent>
                      </v:textbox>
                      <v:imagedata o:title=""/>
                      <w10:wrap type="none" anchorx="text" anchory="text"/>
                    </v:shape>
                  </w:pict>
                </mc:Fallback>
              </mc:AlternateContent>
            </w:r>
          </w:p>
        </w:tc>
      </w:tr>
      <w:tr>
        <w:trPr>
          <w:trHeight w:val="180" w:hRule="atLeast"/>
        </w:trPr>
        <w:tc>
          <w:tcPr>
            <w:tcW w:w="212" w:type="dxa"/>
            <w:vMerge w:val="restart"/>
            <w:tcBorders>
              <w:top w:val="nil"/>
              <w:left w:val="dashed" w:color="000000" w:sz="4" w:space="0"/>
              <w:bottom w:val="single" w:color="auto" w:sz="4" w:space="0"/>
              <w:right w:val="nil"/>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c>
          <w:tcPr>
            <w:tcW w:w="7085" w:type="dxa"/>
            <w:gridSpan w:val="7"/>
            <w:tcBorders>
              <w:top w:val="nil"/>
              <w:left w:val="nil"/>
              <w:bottom w:val="single" w:color="auto" w:sz="4" w:space="0"/>
              <w:right w:val="nil"/>
              <w:tl2br w:val="none" w:color="auto" w:sz="0" w:space="0"/>
              <w:tr2bl w:val="none" w:color="auto" w:sz="0" w:space="0"/>
            </w:tcBorders>
            <w:vAlign w:val="top"/>
          </w:tcPr>
          <w:p>
            <w:pPr>
              <w:pStyle w:val="0"/>
              <w:suppressAutoHyphens w:val="1"/>
              <w:kinsoku w:val="0"/>
              <w:autoSpaceDE w:val="0"/>
              <w:autoSpaceDN w:val="0"/>
              <w:spacing w:line="100" w:lineRule="exact"/>
              <w:jc w:val="left"/>
              <w:rPr>
                <w:rFonts w:hint="default" w:ascii="ＭＳ 明朝" w:hAnsi="ＭＳ 明朝"/>
              </w:rPr>
            </w:pPr>
          </w:p>
          <w:p>
            <w:pPr>
              <w:pStyle w:val="0"/>
              <w:suppressAutoHyphens w:val="1"/>
              <w:kinsoku w:val="0"/>
              <w:autoSpaceDE w:val="0"/>
              <w:autoSpaceDN w:val="0"/>
              <w:spacing w:line="100" w:lineRule="exact"/>
              <w:jc w:val="left"/>
              <w:rPr>
                <w:rFonts w:hint="default" w:ascii="ＭＳ 明朝" w:hAnsi="ＭＳ 明朝"/>
              </w:rPr>
            </w:pPr>
          </w:p>
        </w:tc>
        <w:tc>
          <w:tcPr>
            <w:tcW w:w="1481" w:type="dxa"/>
            <w:vMerge w:val="restart"/>
            <w:tcBorders>
              <w:top w:val="nil"/>
              <w:left w:val="nil"/>
              <w:bottom w:val="single" w:color="auto"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pPr>
            <w:r>
              <w:rPr>
                <w:rFonts w:hint="eastAsia" w:ascii="Times New Roman" w:hAnsi="Times New Roman" w:eastAsia="ＭＳ 明朝"/>
                <w:color w:val="000000"/>
                <w:sz w:val="21"/>
              </w:rPr>
              <w:t>　</w:t>
            </w:r>
          </w:p>
        </w:tc>
      </w:tr>
      <w:tr>
        <w:trPr>
          <w:trHeight w:val="165" w:hRule="atLeast"/>
        </w:trPr>
        <w:tc>
          <w:tcPr>
            <w:tcW w:w="212" w:type="dxa"/>
            <w:vMerge w:val="continue"/>
            <w:tcBorders>
              <w:top w:val="single" w:color="auto" w:sz="4" w:space="0"/>
              <w:left w:val="dashed" w:color="000000" w:sz="4" w:space="0"/>
              <w:bottom w:val="nil"/>
              <w:right w:val="nil"/>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tc>
        <w:tc>
          <w:tcPr>
            <w:tcW w:w="7085" w:type="dxa"/>
            <w:gridSpan w:val="7"/>
            <w:tcBorders>
              <w:top w:val="single" w:color="auto" w:sz="4" w:space="0"/>
              <w:left w:val="nil"/>
              <w:bottom w:val="nil"/>
              <w:right w:val="nil"/>
              <w:tl2br w:val="none" w:color="auto" w:sz="0" w:space="0"/>
              <w:tr2bl w:val="none" w:color="auto" w:sz="0" w:space="0"/>
            </w:tcBorders>
            <w:vAlign w:val="top"/>
          </w:tcPr>
          <w:p>
            <w:pPr>
              <w:pStyle w:val="0"/>
              <w:suppressAutoHyphens w:val="1"/>
              <w:kinsoku w:val="0"/>
              <w:autoSpaceDE w:val="0"/>
              <w:autoSpaceDN w:val="0"/>
              <w:spacing w:line="100" w:lineRule="exact"/>
              <w:jc w:val="left"/>
              <w:rPr>
                <w:rFonts w:hint="default" w:ascii="ＭＳ 明朝" w:hAnsi="ＭＳ 明朝"/>
              </w:rPr>
            </w:pPr>
          </w:p>
          <w:p>
            <w:pPr>
              <w:pStyle w:val="0"/>
              <w:suppressAutoHyphens w:val="1"/>
              <w:kinsoku w:val="0"/>
              <w:autoSpaceDE w:val="0"/>
              <w:autoSpaceDN w:val="0"/>
              <w:spacing w:line="100" w:lineRule="exact"/>
              <w:jc w:val="left"/>
              <w:rPr>
                <w:rFonts w:hint="default" w:ascii="ＭＳ 明朝" w:hAnsi="ＭＳ 明朝"/>
              </w:rPr>
            </w:pPr>
          </w:p>
        </w:tc>
        <w:tc>
          <w:tcPr>
            <w:tcW w:w="1481" w:type="dxa"/>
            <w:vMerge w:val="continue"/>
            <w:tcBorders>
              <w:top w:val="single" w:color="auto" w:sz="4" w:space="0"/>
              <w:left w:val="nil"/>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pPr>
          </w:p>
        </w:tc>
      </w:tr>
      <w:tr>
        <w:trPr/>
        <w:tc>
          <w:tcPr>
            <w:tcW w:w="317" w:type="dxa"/>
            <w:gridSpan w:val="2"/>
            <w:tcBorders>
              <w:top w:val="nil"/>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p>
            <w:pPr>
              <w:pStyle w:val="0"/>
              <w:suppressAutoHyphens w:val="1"/>
              <w:kinsoku w:val="0"/>
              <w:autoSpaceDE w:val="0"/>
              <w:autoSpaceDN w:val="0"/>
              <w:spacing w:line="220" w:lineRule="exact"/>
              <w:jc w:val="left"/>
              <w:rPr>
                <w:rFonts w:hint="default" w:ascii="ＭＳ 明朝" w:hAnsi="ＭＳ 明朝"/>
              </w:rPr>
            </w:pPr>
          </w:p>
        </w:tc>
        <w:tc>
          <w:tcPr>
            <w:tcW w:w="6874" w:type="dxa"/>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20" w:lineRule="exact"/>
              <w:ind w:left="212" w:hanging="210" w:hangingChars="100"/>
              <w:jc w:val="left"/>
              <w:rPr>
                <w:rFonts w:hint="default" w:ascii="ＭＳ 明朝" w:hAnsi="ＭＳ 明朝"/>
              </w:rPr>
            </w:pPr>
            <w:r>
              <w:rPr>
                <w:rFonts w:hint="eastAsia" w:ascii="Times New Roman" w:hAnsi="Times New Roman" w:eastAsia="ＭＳ 明朝"/>
                <w:color w:val="000000"/>
                <w:sz w:val="21"/>
              </w:rPr>
              <w:t>　</w:t>
            </w:r>
            <w:r>
              <w:rPr>
                <w:rFonts w:hint="eastAsia" w:ascii="Times New Roman" w:hAnsi="Times New Roman" w:eastAsia="ＭＳ 明朝"/>
                <w:color w:val="000000"/>
                <w:sz w:val="18"/>
              </w:rPr>
              <w:t>評価対象期間内に運動器機能向上・栄養改善・口腔機能向上のいずれかのサービ　スを３ヶ月以上利用し、その後に要支援認定の更新又は変更認定を受けた者の数</w:t>
            </w:r>
          </w:p>
        </w:tc>
        <w:tc>
          <w:tcPr>
            <w:tcW w:w="1587" w:type="dxa"/>
            <w:gridSpan w:val="2"/>
            <w:tcBorders>
              <w:top w:val="nil"/>
              <w:left w:val="single" w:color="000000" w:sz="12" w:space="0"/>
              <w:bottom w:val="nil"/>
              <w:right w:val="dashed" w:color="000000" w:sz="4" w:space="0"/>
              <w:tl2br w:val="none" w:color="auto" w:sz="0" w:space="0"/>
              <w:tr2bl w:val="none" w:color="auto" w:sz="0" w:space="0"/>
            </w:tcBorders>
            <w:vAlign w:val="top"/>
          </w:tcPr>
          <w:p>
            <w:pPr>
              <w:pStyle w:val="0"/>
              <w:suppressAutoHyphens w:val="1"/>
              <w:kinsoku w:val="0"/>
              <w:autoSpaceDE w:val="0"/>
              <w:autoSpaceDN w:val="0"/>
              <w:spacing w:line="220" w:lineRule="exact"/>
              <w:jc w:val="left"/>
              <w:rPr>
                <w:rFonts w:hint="default" w:ascii="ＭＳ 明朝" w:hAnsi="ＭＳ 明朝"/>
              </w:rPr>
            </w:pPr>
          </w:p>
          <w:p>
            <w:pPr>
              <w:pStyle w:val="0"/>
              <w:suppressAutoHyphens w:val="1"/>
              <w:kinsoku w:val="0"/>
              <w:autoSpaceDE w:val="0"/>
              <w:autoSpaceDN w:val="0"/>
              <w:spacing w:line="220" w:lineRule="exact"/>
              <w:jc w:val="left"/>
              <w:rPr>
                <w:rFonts w:hint="default" w:ascii="ＭＳ 明朝" w:hAnsi="ＭＳ 明朝"/>
              </w:rPr>
            </w:pPr>
          </w:p>
        </w:tc>
      </w:tr>
      <w:tr>
        <w:trPr>
          <w:trHeight w:val="128" w:hRule="atLeast"/>
        </w:trPr>
        <w:tc>
          <w:tcPr>
            <w:tcW w:w="8778" w:type="dxa"/>
            <w:gridSpan w:val="9"/>
            <w:tcBorders>
              <w:top w:val="nil"/>
              <w:left w:val="dashed"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00" w:lineRule="exact"/>
              <w:jc w:val="left"/>
              <w:rPr>
                <w:rFonts w:hint="default" w:ascii="ＭＳ 明朝" w:hAnsi="ＭＳ 明朝"/>
              </w:rPr>
            </w:pPr>
          </w:p>
        </w:tc>
      </w:tr>
    </w:tbl>
    <w:p>
      <w:pPr>
        <w:pStyle w:val="0"/>
        <w:adjustRightInd w:val="1"/>
        <w:spacing w:line="100" w:lineRule="exact"/>
        <w:jc w:val="both"/>
      </w:pPr>
      <w:r>
        <w:rPr>
          <w:rFonts w:hint="eastAsia" w:ascii="Times New Roman" w:hAnsi="Times New Roman" w:eastAsia="ＭＳ 明朝"/>
          <w:color w:val="000000"/>
          <w:sz w:val="21"/>
        </w:rPr>
        <w:t>　　　</w:t>
      </w:r>
    </w:p>
    <w:p>
      <w:pPr>
        <w:pStyle w:val="0"/>
        <w:adjustRightInd w:val="1"/>
        <w:spacing w:line="100" w:lineRule="exact"/>
        <w:jc w:val="both"/>
      </w:pPr>
    </w:p>
    <w:p>
      <w:pPr>
        <w:pStyle w:val="0"/>
        <w:adjustRightInd w:val="1"/>
        <w:spacing w:line="240" w:lineRule="exact"/>
        <w:ind w:firstLine="840" w:firstLineChars="400"/>
        <w:jc w:val="both"/>
        <w:rPr>
          <w:rFonts w:hint="default" w:ascii="ＭＳ 明朝" w:hAnsi="ＭＳ 明朝"/>
        </w:rPr>
      </w:pPr>
      <w:r>
        <w:rPr>
          <w:rFonts w:hint="eastAsia" w:ascii="Times New Roman" w:hAnsi="Times New Roman" w:eastAsia="ＭＳ 明朝"/>
          <w:color w:val="000000"/>
          <w:sz w:val="21"/>
        </w:rPr>
        <w:t>の条件を満たした場合に加算適合事業所となる。</w:t>
      </w:r>
    </w:p>
    <w:p>
      <w:pPr>
        <w:pStyle w:val="0"/>
        <w:adjustRightInd w:val="1"/>
        <w:spacing w:line="100" w:lineRule="exact"/>
        <w:jc w:val="both"/>
        <w:rPr>
          <w:rFonts w:hint="default" w:ascii="ＭＳ 明朝" w:hAnsi="ＭＳ 明朝"/>
        </w:rPr>
      </w:pPr>
    </w:p>
    <w:p>
      <w:pPr>
        <w:pStyle w:val="0"/>
        <w:adjustRightInd w:val="1"/>
        <w:spacing w:line="100" w:lineRule="exact"/>
        <w:jc w:val="both"/>
        <w:rPr>
          <w:rFonts w:hint="default" w:ascii="ＭＳ 明朝" w:hAnsi="ＭＳ 明朝"/>
        </w:rPr>
      </w:pPr>
    </w:p>
    <w:p>
      <w:pPr>
        <w:pStyle w:val="0"/>
        <w:adjustRightInd w:val="1"/>
        <w:spacing w:line="240" w:lineRule="exact"/>
        <w:jc w:val="both"/>
        <w:rPr>
          <w:rFonts w:hint="default" w:ascii="ＭＳ 明朝" w:hAnsi="ＭＳ 明朝"/>
        </w:rPr>
      </w:pPr>
      <w:r>
        <w:rPr>
          <w:rFonts w:hint="eastAsia" w:ascii="ＭＳ 明朝" w:hAnsi="ＭＳ 明朝" w:eastAsia="ＭＳ ゴシック"/>
          <w:b w:val="1"/>
          <w:color w:val="000000"/>
          <w:sz w:val="21"/>
        </w:rPr>
        <w:t>２　事業所評価加算対象事業所選定にあたっての流れ</w:t>
      </w:r>
    </w:p>
    <w:p>
      <w:pPr>
        <w:pStyle w:val="0"/>
        <w:adjustRightInd w:val="1"/>
        <w:spacing w:line="100" w:lineRule="exact"/>
        <w:jc w:val="both"/>
      </w:pPr>
    </w:p>
    <w:p>
      <w:pPr>
        <w:pStyle w:val="0"/>
        <w:adjustRightInd w:val="1"/>
        <w:spacing w:line="240" w:lineRule="exact"/>
        <w:jc w:val="both"/>
      </w:pPr>
      <w:r>
        <w:rPr>
          <w:rFonts w:hint="eastAsia" w:ascii="Times New Roman" w:hAnsi="Times New Roman" w:eastAsia="ＭＳ 明朝"/>
          <w:color w:val="000000"/>
          <w:sz w:val="21"/>
        </w:rPr>
        <w:t>　　　以下のプロセスを経て対象事業所の選定と加算の算定を実施する。</w:t>
      </w:r>
    </w:p>
    <w:p>
      <w:pPr>
        <w:pStyle w:val="0"/>
        <w:adjustRightInd w:val="1"/>
        <w:spacing w:line="100" w:lineRule="exact"/>
        <w:jc w:val="both"/>
        <w:rPr>
          <w:rFonts w:hint="default" w:ascii="ＭＳ 明朝" w:hAnsi="ＭＳ 明朝"/>
        </w:rPr>
      </w:pPr>
    </w:p>
    <w:tbl>
      <w:tblPr>
        <w:tblStyle w:val="11"/>
        <w:tblW w:w="0" w:type="auto"/>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778"/>
      </w:tblGrid>
      <w:tr>
        <w:trPr/>
        <w:tc>
          <w:tcPr>
            <w:tcW w:w="8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00" w:lineRule="exact"/>
              <w:jc w:val="left"/>
            </w:pPr>
            <w:r>
              <w:rPr>
                <w:rFonts w:hint="eastAsia" w:ascii="Times New Roman" w:hAnsi="Times New Roman" w:eastAsia="ＭＳ 明朝"/>
                <w:color w:val="000000"/>
                <w:sz w:val="21"/>
              </w:rPr>
              <w:t>　</w:t>
            </w:r>
          </w:p>
          <w:p>
            <w:pPr>
              <w:pStyle w:val="0"/>
              <w:spacing w:line="210" w:lineRule="exact"/>
              <w:ind w:firstLine="210" w:firstLineChars="100"/>
              <w:jc w:val="both"/>
            </w:pPr>
            <w:r>
              <w:rPr>
                <w:rFonts w:hint="eastAsia" w:ascii="Times New Roman" w:hAnsi="Times New Roman" w:eastAsia="ＭＳ 明朝"/>
                <w:color w:val="000000"/>
                <w:sz w:val="21"/>
              </w:rPr>
              <w:t>①　翌年度に事業所評価加算の算定を希望する事業所は、管轄の各総合振興局（振興局）　　　等へ加算申出の届出（事業所→指定権者）</w:t>
            </w:r>
          </w:p>
          <w:p>
            <w:pPr>
              <w:pStyle w:val="0"/>
              <w:spacing w:line="210" w:lineRule="exact"/>
              <w:jc w:val="both"/>
            </w:pPr>
            <w:r>
              <w:rPr>
                <w:rFonts w:hint="eastAsia" w:ascii="Times New Roman" w:hAnsi="Times New Roman" w:eastAsia="ＭＳ 明朝"/>
                <w:color w:val="000000"/>
                <w:sz w:val="21"/>
              </w:rPr>
              <w:t>　↓</w:t>
            </w:r>
          </w:p>
          <w:p>
            <w:pPr>
              <w:pStyle w:val="0"/>
              <w:spacing w:line="210" w:lineRule="exact"/>
              <w:jc w:val="both"/>
            </w:pPr>
            <w:r>
              <w:rPr>
                <w:rFonts w:hint="eastAsia" w:ascii="Times New Roman" w:hAnsi="Times New Roman" w:eastAsia="ＭＳ 明朝"/>
                <w:color w:val="000000"/>
                <w:sz w:val="21"/>
              </w:rPr>
              <w:t>　②　加算の届出情報の提供（道（施設運営指導課）→国保連合会）</w:t>
            </w:r>
          </w:p>
          <w:p>
            <w:pPr>
              <w:pStyle w:val="0"/>
              <w:spacing w:line="210" w:lineRule="exact"/>
              <w:jc w:val="both"/>
            </w:pPr>
            <w:r>
              <w:rPr>
                <w:rFonts w:hint="eastAsia" w:ascii="Times New Roman" w:hAnsi="Times New Roman" w:eastAsia="ＭＳ 明朝"/>
                <w:color w:val="000000"/>
                <w:sz w:val="21"/>
              </w:rPr>
              <w:t>　↓</w:t>
            </w:r>
          </w:p>
          <w:p>
            <w:pPr>
              <w:pStyle w:val="0"/>
              <w:spacing w:line="210" w:lineRule="exact"/>
              <w:jc w:val="both"/>
            </w:pPr>
            <w:r>
              <w:rPr>
                <w:rFonts w:hint="eastAsia" w:ascii="Times New Roman" w:hAnsi="Times New Roman" w:eastAsia="ＭＳ 明朝"/>
                <w:color w:val="000000"/>
                <w:sz w:val="21"/>
              </w:rPr>
              <w:t>　③　国保連合会において、申出のあった事業所が、加算要件に該当するか確認</w:t>
            </w:r>
          </w:p>
          <w:p>
            <w:pPr>
              <w:pStyle w:val="0"/>
              <w:spacing w:line="210" w:lineRule="exact"/>
              <w:jc w:val="both"/>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（地域包括支援センターにおいて、認定区分維持者に関するサービス提供終了の確認）</w:t>
            </w:r>
          </w:p>
          <w:p>
            <w:pPr>
              <w:pStyle w:val="0"/>
              <w:spacing w:line="210" w:lineRule="exact"/>
              <w:jc w:val="both"/>
            </w:pPr>
            <w:r>
              <w:rPr>
                <w:rFonts w:hint="eastAsia" w:ascii="Times New Roman" w:hAnsi="Times New Roman" w:eastAsia="ＭＳ 明朝"/>
                <w:color w:val="000000"/>
                <w:sz w:val="21"/>
              </w:rPr>
              <w:t>　↓</w:t>
            </w:r>
          </w:p>
          <w:p>
            <w:pPr>
              <w:pStyle w:val="0"/>
              <w:spacing w:line="210" w:lineRule="exact"/>
              <w:jc w:val="both"/>
            </w:pPr>
            <w:r>
              <w:rPr>
                <w:rFonts w:hint="eastAsia" w:ascii="Times New Roman" w:hAnsi="Times New Roman" w:eastAsia="ＭＳ 明朝"/>
                <w:color w:val="000000"/>
                <w:sz w:val="21"/>
              </w:rPr>
              <w:t>　④　加算の算定基準に適合する事業所と不適合事業所の一覧表を作成・提供</w:t>
            </w:r>
          </w:p>
          <w:p>
            <w:pPr>
              <w:pStyle w:val="0"/>
              <w:spacing w:line="210" w:lineRule="exact"/>
              <w:ind w:firstLine="630" w:firstLineChars="300"/>
              <w:jc w:val="both"/>
            </w:pPr>
            <w:r>
              <w:rPr>
                <w:rFonts w:hint="eastAsia" w:ascii="Times New Roman" w:hAnsi="Times New Roman" w:eastAsia="ＭＳ 明朝"/>
                <w:color w:val="000000"/>
                <w:sz w:val="21"/>
              </w:rPr>
              <w:t>（国保連→道（施設運営指導課））</w:t>
            </w:r>
          </w:p>
          <w:p>
            <w:pPr>
              <w:pStyle w:val="0"/>
              <w:spacing w:line="210" w:lineRule="exact"/>
              <w:jc w:val="both"/>
            </w:pPr>
            <w:r>
              <w:rPr>
                <w:rFonts w:hint="eastAsia" w:ascii="Times New Roman" w:hAnsi="Times New Roman" w:eastAsia="ＭＳ 明朝"/>
                <w:color w:val="000000"/>
                <w:sz w:val="21"/>
              </w:rPr>
              <w:t>　↓</w:t>
            </w:r>
          </w:p>
          <w:p>
            <w:pPr>
              <w:pStyle w:val="0"/>
              <w:spacing w:line="210" w:lineRule="exact"/>
              <w:ind w:left="636" w:hanging="630" w:hangingChars="300"/>
              <w:jc w:val="both"/>
            </w:pPr>
            <w:r>
              <w:rPr>
                <w:rFonts w:hint="eastAsia" w:ascii="Times New Roman" w:hAnsi="Times New Roman" w:eastAsia="ＭＳ 明朝"/>
                <w:color w:val="000000"/>
                <w:sz w:val="21"/>
              </w:rPr>
              <w:t>　⑤　適合・不適合事業所一覧表の内容を確認した上で適合事業所を決定し、対象事業所へ加算算定可否の通知（指定権者→事業所）※道は保険者にも通知（各振興局→保険者）</w:t>
            </w:r>
          </w:p>
          <w:p>
            <w:pPr>
              <w:pStyle w:val="0"/>
              <w:spacing w:line="210" w:lineRule="exact"/>
              <w:jc w:val="both"/>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w:t>
            </w:r>
          </w:p>
          <w:p>
            <w:pPr>
              <w:pStyle w:val="0"/>
              <w:spacing w:line="210" w:lineRule="exact"/>
              <w:jc w:val="both"/>
            </w:pPr>
            <w:r>
              <w:rPr>
                <w:rFonts w:hint="eastAsia" w:ascii="Times New Roman" w:hAnsi="Times New Roman" w:eastAsia="ＭＳ 明朝"/>
                <w:color w:val="000000"/>
                <w:sz w:val="21"/>
              </w:rPr>
              <w:t>　⑥　道で適合事業所の情報を公表（施設運営指導課のホームページ）</w:t>
            </w:r>
          </w:p>
          <w:p>
            <w:pPr>
              <w:pStyle w:val="0"/>
              <w:spacing w:line="210" w:lineRule="exact"/>
              <w:jc w:val="both"/>
            </w:pPr>
            <w:r>
              <w:rPr>
                <w:rFonts w:hint="eastAsia" w:ascii="Times New Roman" w:hAnsi="Times New Roman" w:eastAsia="ＭＳ 明朝"/>
                <w:color w:val="000000"/>
                <w:sz w:val="21"/>
              </w:rPr>
              <w:t>　↓</w:t>
            </w:r>
          </w:p>
          <w:p>
            <w:pPr>
              <w:pStyle w:val="0"/>
              <w:spacing w:line="210" w:lineRule="exact"/>
              <w:jc w:val="both"/>
            </w:pPr>
            <w:r>
              <w:rPr>
                <w:rFonts w:hint="eastAsia" w:ascii="Times New Roman" w:hAnsi="Times New Roman" w:eastAsia="ＭＳ 明朝"/>
                <w:color w:val="000000"/>
                <w:sz w:val="21"/>
              </w:rPr>
              <w:t>　⑦　令和２年４月より加算開始（対象期間：令和３年３月までの１年間）</w:t>
            </w:r>
          </w:p>
          <w:p>
            <w:pPr>
              <w:pStyle w:val="0"/>
              <w:spacing w:line="210" w:lineRule="exact"/>
              <w:jc w:val="both"/>
            </w:pPr>
          </w:p>
        </w:tc>
      </w:tr>
    </w:tbl>
    <w:p>
      <w:pPr>
        <w:pStyle w:val="0"/>
        <w:overflowPunct w:val="1"/>
        <w:autoSpaceDE w:val="0"/>
        <w:autoSpaceDN w:val="0"/>
        <w:jc w:val="left"/>
        <w:textAlignment w:val="auto"/>
        <w:rPr>
          <w:rFonts w:hint="default" w:ascii="ＭＳ 明朝" w:hAnsi="ＭＳ 明朝"/>
        </w:rPr>
      </w:pPr>
    </w:p>
    <w:sectPr>
      <w:type w:val="continuous"/>
      <w:pgSz w:w="11906" w:h="16838"/>
      <w:pgMar w:top="1248" w:right="1134" w:bottom="568" w:left="1360" w:header="720" w:footer="720" w:gutter="0"/>
      <w:pgNumType w:start="1"/>
      <w:cols w:space="720"/>
      <w:textDirection w:val="lrTb"/>
      <w:docGrid w:type="linesAndChars" w:linePitch="24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67C1C00"/>
    <w:lvl w:ilvl="0" w:tplc="00000000">
      <w:start w:val="1"/>
      <w:numFmt w:val="decimalEnclosedCircle"/>
      <w:lvlText w:val="%1"/>
      <w:lvlJc w:val="left"/>
      <w:pPr>
        <w:ind w:left="990" w:hanging="360"/>
      </w:pPr>
      <w:rPr>
        <w:rFonts w:hint="eastAsia" w:ascii="Times New Roman" w:hAnsi="Times New Roman" w:eastAsia="ＭＳ 明朝"/>
      </w:rPr>
    </w:lvl>
    <w:lvl w:ilvl="1" w:tplc="00000000">
      <w:start w:val="1"/>
      <w:numFmt w:val="aiueoFullWidth"/>
      <w:lvlText w:val="(%2)"/>
      <w:lvlJc w:val="left"/>
      <w:pPr>
        <w:ind w:left="1470" w:hanging="420"/>
      </w:pPr>
    </w:lvl>
    <w:lvl w:ilvl="2" w:tplc="00000000">
      <w:start w:val="1"/>
      <w:numFmt w:val="decimalEnclosedCircle"/>
      <w:lvlText w:val="%3"/>
      <w:lvlJc w:val="left"/>
      <w:pPr>
        <w:ind w:left="1890" w:hanging="420"/>
      </w:pPr>
    </w:lvl>
    <w:lvl w:ilvl="3" w:tplc="00000000">
      <w:start w:val="1"/>
      <w:numFmt w:val="decimal"/>
      <w:lvlText w:val="%4."/>
      <w:lvlJc w:val="left"/>
      <w:pPr>
        <w:ind w:left="2310" w:hanging="420"/>
      </w:pPr>
    </w:lvl>
    <w:lvl w:ilvl="4" w:tplc="00000000">
      <w:start w:val="1"/>
      <w:numFmt w:val="aiueoFullWidth"/>
      <w:lvlText w:val="(%5)"/>
      <w:lvlJc w:val="left"/>
      <w:pPr>
        <w:ind w:left="2730" w:hanging="420"/>
      </w:pPr>
    </w:lvl>
    <w:lvl w:ilvl="5" w:tplc="00000000">
      <w:start w:val="1"/>
      <w:numFmt w:val="decimalEnclosedCircle"/>
      <w:lvlText w:val="%6"/>
      <w:lvlJc w:val="left"/>
      <w:pPr>
        <w:ind w:left="3150" w:hanging="420"/>
      </w:pPr>
    </w:lvl>
    <w:lvl w:ilvl="6" w:tplc="00000000">
      <w:start w:val="1"/>
      <w:numFmt w:val="decimal"/>
      <w:lvlText w:val="%7."/>
      <w:lvlJc w:val="left"/>
      <w:pPr>
        <w:ind w:left="3570" w:hanging="420"/>
      </w:pPr>
    </w:lvl>
    <w:lvl w:ilvl="7" w:tplc="00000000">
      <w:start w:val="1"/>
      <w:numFmt w:val="aiueoFullWidth"/>
      <w:lvlText w:val="(%8)"/>
      <w:lvlJc w:val="left"/>
      <w:pPr>
        <w:ind w:left="3990" w:hanging="420"/>
      </w:pPr>
    </w:lvl>
    <w:lvl w:ilvl="8" w:tplc="00000000">
      <w:start w:val="1"/>
      <w:numFmt w:val="decimalEnclosedCircle"/>
      <w:lvlText w:val="%9"/>
      <w:lvlJc w:val="left"/>
      <w:pPr>
        <w:ind w:left="441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4"/>
  <w:hyphenationZone w:val="0"/>
  <w:drawingGridHorizontalSpacing w:val="409"/>
  <w:drawingGridVerticalSpacing w:val="246"/>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1"/>
    </w:rPr>
  </w:style>
  <w:style w:type="paragraph" w:styleId="19">
    <w:name w:val="No Spacing"/>
    <w:next w:val="19"/>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194</Words>
  <Characters>1106</Characters>
  <Application>JUST Note</Application>
  <Lines>0</Lines>
  <Paragraphs>0</Paragraphs>
  <Company>北海道</Company>
  <CharactersWithSpaces>1298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hokkaido</dc:creator>
  <cp:lastModifiedBy>imuyakumu035</cp:lastModifiedBy>
  <cp:lastPrinted>2014-03-10T12:09:00Z</cp:lastPrinted>
  <dcterms:created xsi:type="dcterms:W3CDTF">2019-01-22T11:23:00Z</dcterms:created>
  <dcterms:modified xsi:type="dcterms:W3CDTF">2020-01-30T06:27:10Z</dcterms:modified>
  <cp:revision>6</cp:revision>
</cp:coreProperties>
</file>