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旭川市地域包括支援センター運営業務（東旭川・千代田</w:t>
      </w:r>
      <w:bookmarkStart w:id="0" w:name="_GoBack"/>
      <w:bookmarkEnd w:id="0"/>
      <w:r>
        <w:rPr>
          <w:rFonts w:hint="eastAsia" w:ascii="ＭＳ 明朝" w:hAnsi="ＭＳ 明朝" w:eastAsia="ＭＳ 明朝"/>
          <w:color w:val="000000"/>
          <w:kern w:val="0"/>
          <w:u w:val="single" w:color="000000"/>
        </w:rPr>
        <w:t>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5656</TotalTime>
  <Pages>1</Pages>
  <Words>2</Words>
  <Characters>248</Characters>
  <Application>JUST Note</Application>
  <Lines>34</Lines>
  <Paragraphs>20</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2023-11-28T10:22:48Z</cp:lastPrinted>
  <dcterms:created xsi:type="dcterms:W3CDTF">2011-11-07T06:07:00Z</dcterms:created>
  <dcterms:modified xsi:type="dcterms:W3CDTF">2023-11-28T10:26:37Z</dcterms:modified>
  <cp:revision>116</cp:revision>
</cp:coreProperties>
</file>