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Theme="minorEastAsia" w:hAnsiTheme="minorEastAsia"/>
          <w:color w:val="000000"/>
          <w:spacing w:val="24"/>
          <w:kern w:val="0"/>
          <w:sz w:val="24"/>
        </w:rPr>
      </w:pPr>
      <w:bookmarkStart w:id="0" w:name="_GoBack"/>
      <w:bookmarkEnd w:id="0"/>
      <w:r>
        <w:rPr>
          <w:rFonts w:hint="eastAsia" w:asciiTheme="minorEastAsia" w:hAnsiTheme="minorEastAsia"/>
          <w:color w:val="000000"/>
          <w:kern w:val="0"/>
          <w:sz w:val="24"/>
        </w:rPr>
        <w:t>（別紙様式２）</w:t>
      </w: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番　　　　　号</w:t>
      </w: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年　　月　　日</w:t>
      </w:r>
    </w:p>
    <w:p>
      <w:pPr>
        <w:pStyle w:val="0"/>
        <w:suppressAutoHyphens w:val="1"/>
        <w:wordWrap w:val="0"/>
        <w:jc w:val="left"/>
        <w:textAlignment w:val="baseline"/>
        <w:rPr>
          <w:rFonts w:hint="default" w:asciiTheme="minorEastAsia" w:hAnsiTheme="minorEastAsia"/>
          <w:color w:val="000000"/>
          <w:kern w:val="0"/>
          <w:sz w:val="24"/>
        </w:rPr>
      </w:pPr>
    </w:p>
    <w:p>
      <w:pPr>
        <w:pStyle w:val="0"/>
        <w:suppressAutoHyphens w:val="1"/>
        <w:wordWrap w:val="0"/>
        <w:jc w:val="left"/>
        <w:textAlignment w:val="baseline"/>
        <w:rPr>
          <w:rFonts w:hint="default" w:asciiTheme="minorEastAsia" w:hAnsiTheme="minorEastAsia"/>
          <w:color w:val="000000"/>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厚生労働大臣　　　　　　　殿</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　　　　　　　　　　　　　　　　　　　　　　　　　　　　</w:t>
      </w:r>
      <w:r>
        <w:rPr>
          <w:rFonts w:hint="eastAsia" w:asciiTheme="minorEastAsia" w:hAnsiTheme="minorEastAsia"/>
          <w:color w:val="000000"/>
          <w:kern w:val="0"/>
          <w:sz w:val="24"/>
        </w:rPr>
        <w:t xml:space="preserve"> </w:t>
      </w:r>
      <w:r>
        <w:rPr>
          <w:rFonts w:hint="eastAsia" w:asciiTheme="minorEastAsia" w:hAnsiTheme="minorEastAsia"/>
          <w:color w:val="000000"/>
          <w:kern w:val="0"/>
          <w:sz w:val="24"/>
        </w:rPr>
        <w:t>都道府県知事</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center"/>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医療法施行令第５条の３第２項の規定に基づく協議について</w:t>
      </w: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jc w:val="left"/>
        <w:textAlignment w:val="baseline"/>
        <w:rPr>
          <w:rFonts w:hint="default" w:asciiTheme="minorEastAsia" w:hAnsiTheme="minorEastAsia"/>
          <w:color w:val="000000"/>
          <w:spacing w:val="24"/>
          <w:kern w:val="0"/>
          <w:sz w:val="24"/>
        </w:rPr>
      </w:pPr>
    </w:p>
    <w:p>
      <w:pPr>
        <w:pStyle w:val="0"/>
        <w:suppressAutoHyphens w:val="1"/>
        <w:wordWrap w:val="0"/>
        <w:ind w:firstLine="240" w:firstLineChars="100"/>
        <w:jc w:val="left"/>
        <w:textAlignment w:val="baseline"/>
        <w:rPr>
          <w:rFonts w:hint="default" w:asciiTheme="minorEastAsia" w:hAnsiTheme="minorEastAsia"/>
          <w:color w:val="000000"/>
          <w:spacing w:val="24"/>
          <w:kern w:val="0"/>
          <w:sz w:val="24"/>
        </w:rPr>
      </w:pPr>
      <w:r>
        <w:rPr>
          <w:rFonts w:hint="eastAsia" w:asciiTheme="minorEastAsia" w:hAnsiTheme="minorEastAsia"/>
          <w:sz w:val="24"/>
        </w:rPr>
        <w:t>新型コロナウイルス感染症患者、疑似症患者及び無症状病原体保有者に関する診断及び治療に係る病床の確保のため、</w:t>
      </w:r>
      <w:r>
        <w:rPr>
          <w:rFonts w:hint="eastAsia" w:asciiTheme="minorEastAsia" w:hAnsiTheme="minorEastAsia"/>
          <w:color w:val="000000"/>
          <w:kern w:val="0"/>
          <w:sz w:val="24"/>
        </w:rPr>
        <w:t>医療法第</w:t>
      </w:r>
      <w:r>
        <w:rPr>
          <w:rFonts w:hint="eastAsia" w:asciiTheme="minorEastAsia" w:hAnsiTheme="minorEastAsia"/>
          <w:color w:val="000000"/>
          <w:kern w:val="0"/>
          <w:sz w:val="24"/>
        </w:rPr>
        <w:t>30</w:t>
      </w:r>
      <w:r>
        <w:rPr>
          <w:rFonts w:hint="eastAsia" w:asciiTheme="minorEastAsia" w:hAnsiTheme="minorEastAsia"/>
          <w:color w:val="000000"/>
          <w:kern w:val="0"/>
          <w:sz w:val="24"/>
        </w:rPr>
        <w:t>条の４第</w:t>
      </w:r>
      <w:r>
        <w:rPr>
          <w:rFonts w:hint="eastAsia" w:asciiTheme="minorEastAsia" w:hAnsiTheme="minorEastAsia"/>
          <w:color w:val="000000"/>
          <w:kern w:val="0"/>
          <w:sz w:val="24"/>
        </w:rPr>
        <w:t>10</w:t>
      </w:r>
      <w:r>
        <w:rPr>
          <w:rFonts w:hint="eastAsia" w:asciiTheme="minorEastAsia" w:hAnsiTheme="minorEastAsia"/>
          <w:color w:val="000000"/>
          <w:kern w:val="0"/>
          <w:sz w:val="24"/>
        </w:rPr>
        <w:t>項の規定に基づく医療法施行令第５条の３第２項の規定による病床数の算定について、次のとおり協議いたします。</w:t>
      </w:r>
    </w:p>
    <w:p>
      <w:pPr>
        <w:pStyle w:val="0"/>
        <w:suppressAutoHyphens w:val="1"/>
        <w:wordWrap w:val="0"/>
        <w:jc w:val="left"/>
        <w:textAlignment w:val="baseline"/>
        <w:rPr>
          <w:rFonts w:hint="default" w:asciiTheme="minorEastAsia" w:hAnsiTheme="minorEastAsia"/>
          <w:color w:val="000000"/>
          <w:kern w:val="0"/>
          <w:sz w:val="24"/>
        </w:rPr>
      </w:pPr>
    </w:p>
    <w:tbl>
      <w:tblPr>
        <w:tblStyle w:val="11"/>
        <w:tblW w:w="0" w:type="auto"/>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2719"/>
        <w:gridCol w:w="1977"/>
        <w:gridCol w:w="1977"/>
        <w:gridCol w:w="1977"/>
      </w:tblGrid>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１　特例とすべき病床数</w:t>
            </w:r>
          </w:p>
        </w:tc>
        <w:tc>
          <w:tcPr>
            <w:tcW w:w="1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c>
          <w:tcPr>
            <w:tcW w:w="1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kern w:val="0"/>
                <w:sz w:val="24"/>
              </w:rPr>
            </w:pPr>
            <w:r>
              <w:rPr>
                <w:rFonts w:hint="eastAsia" w:asciiTheme="minorEastAsia" w:hAnsiTheme="minorEastAsia"/>
                <w:color w:val="000000"/>
                <w:kern w:val="0"/>
                <w:sz w:val="24"/>
              </w:rPr>
              <w:t>２　特例とする病床の種別</w:t>
            </w:r>
          </w:p>
        </w:tc>
        <w:tc>
          <w:tcPr>
            <w:tcW w:w="1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３　特例とする地域</w:t>
            </w:r>
          </w:p>
          <w:p>
            <w:pPr>
              <w:pStyle w:val="0"/>
              <w:suppressAutoHyphens w:val="1"/>
              <w:kinsoku w:val="0"/>
              <w:wordWrap w:val="0"/>
              <w:overflowPunct w:val="0"/>
              <w:autoSpaceDE w:val="0"/>
              <w:autoSpaceDN w:val="0"/>
              <w:adjustRightInd w:val="0"/>
              <w:ind w:right="105" w:rightChars="50"/>
              <w:textAlignment w:val="baseline"/>
              <w:rPr>
                <w:rFonts w:hint="default" w:asciiTheme="minorEastAsia" w:hAnsiTheme="minorEastAsia"/>
                <w:kern w:val="0"/>
                <w:sz w:val="24"/>
              </w:rPr>
            </w:pPr>
            <w:r>
              <w:rPr>
                <w:rFonts w:hint="eastAsia" w:asciiTheme="minorEastAsia" w:hAnsiTheme="minorEastAsia"/>
                <w:color w:val="000000"/>
                <w:kern w:val="0"/>
                <w:sz w:val="24"/>
              </w:rPr>
              <w:t>（二次医療圏の名称）</w:t>
            </w:r>
          </w:p>
        </w:tc>
        <w:tc>
          <w:tcPr>
            <w:tcW w:w="593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４　特例とする病床を必要とする関係医療施設の現況</w:t>
            </w:r>
          </w:p>
        </w:tc>
        <w:tc>
          <w:tcPr>
            <w:tcW w:w="593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病院名：</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住　所：</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電　話：</w:t>
            </w:r>
          </w:p>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r>
              <w:rPr>
                <w:rFonts w:hint="eastAsia" w:asciiTheme="minorEastAsia" w:hAnsiTheme="minorEastAsia"/>
                <w:kern w:val="0"/>
                <w:sz w:val="24"/>
              </w:rPr>
              <w:t>病床の内訳：一般　　　床、精神　　　　床</w:t>
            </w:r>
          </w:p>
          <w:p>
            <w:pPr>
              <w:pStyle w:val="0"/>
              <w:suppressAutoHyphens w:val="1"/>
              <w:kinsoku w:val="0"/>
              <w:wordWrap w:val="0"/>
              <w:overflowPunct w:val="0"/>
              <w:autoSpaceDE w:val="0"/>
              <w:autoSpaceDN w:val="0"/>
              <w:adjustRightInd w:val="0"/>
              <w:ind w:firstLine="1440" w:firstLineChars="600"/>
              <w:jc w:val="left"/>
              <w:textAlignment w:val="baseline"/>
              <w:rPr>
                <w:rFonts w:hint="default" w:asciiTheme="minorEastAsia" w:hAnsiTheme="minorEastAsia"/>
                <w:kern w:val="0"/>
                <w:sz w:val="24"/>
              </w:rPr>
            </w:pPr>
            <w:r>
              <w:rPr>
                <w:rFonts w:hint="eastAsia" w:asciiTheme="minorEastAsia" w:hAnsiTheme="minorEastAsia"/>
                <w:kern w:val="0"/>
                <w:sz w:val="24"/>
              </w:rPr>
              <w:t>結核　　　床、感染症　　　床</w:t>
            </w:r>
          </w:p>
        </w:tc>
      </w:tr>
      <w:tr>
        <w:trPr>
          <w:trHeight w:val="907" w:hRule="atLeast"/>
        </w:trPr>
        <w:tc>
          <w:tcPr>
            <w:tcW w:w="27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５　特例とする病床を必要とする関係医療施設の計画</w:t>
            </w:r>
          </w:p>
        </w:tc>
        <w:tc>
          <w:tcPr>
            <w:tcW w:w="593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ind w:firstLine="240" w:firstLineChars="100"/>
              <w:jc w:val="left"/>
              <w:textAlignment w:val="baseline"/>
              <w:rPr>
                <w:rFonts w:hint="default" w:asciiTheme="minorEastAsia" w:hAnsiTheme="minorEastAsia"/>
                <w:kern w:val="0"/>
                <w:sz w:val="24"/>
              </w:rPr>
            </w:pPr>
            <w:r>
              <w:rPr>
                <w:rFonts w:hint="eastAsia" w:asciiTheme="minorEastAsia" w:hAnsiTheme="minorEastAsia"/>
                <w:kern w:val="0"/>
                <w:sz w:val="24"/>
              </w:rPr>
              <w:t>一般・感染症　　　　床　開設・増床</w:t>
            </w:r>
          </w:p>
        </w:tc>
      </w:tr>
      <w:tr>
        <w:trPr>
          <w:trHeight w:val="907" w:hRule="atLeast"/>
        </w:trPr>
        <w:tc>
          <w:tcPr>
            <w:tcW w:w="27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40" w:right="105" w:rightChars="50" w:hanging="240" w:hangingChars="100"/>
              <w:textAlignment w:val="baseline"/>
              <w:rPr>
                <w:rFonts w:hint="default" w:asciiTheme="minorEastAsia" w:hAnsiTheme="minorEastAsia"/>
                <w:color w:val="000000"/>
                <w:spacing w:val="24"/>
                <w:kern w:val="0"/>
                <w:sz w:val="24"/>
              </w:rPr>
            </w:pPr>
            <w:r>
              <w:rPr>
                <w:rFonts w:hint="eastAsia" w:asciiTheme="minorEastAsia" w:hAnsiTheme="minorEastAsia"/>
                <w:color w:val="000000"/>
                <w:kern w:val="0"/>
                <w:sz w:val="24"/>
              </w:rPr>
              <w:t>６　備　　　　　考</w:t>
            </w:r>
          </w:p>
        </w:tc>
        <w:tc>
          <w:tcPr>
            <w:tcW w:w="593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Theme="minorEastAsia" w:hAnsiTheme="minorEastAsia"/>
                <w:kern w:val="0"/>
                <w:sz w:val="24"/>
              </w:rPr>
            </w:pPr>
          </w:p>
        </w:tc>
      </w:tr>
    </w:tbl>
    <w:p>
      <w:pPr>
        <w:pStyle w:val="0"/>
        <w:suppressAutoHyphens w:val="1"/>
        <w:wordWrap w:val="0"/>
        <w:ind w:firstLine="240" w:firstLineChars="100"/>
        <w:jc w:val="left"/>
        <w:textAlignment w:val="baseline"/>
        <w:rPr>
          <w:rFonts w:hint="default" w:asciiTheme="minorEastAsia" w:hAnsiTheme="minorEastAsia"/>
          <w:color w:val="000000"/>
          <w:kern w:val="0"/>
          <w:sz w:val="24"/>
        </w:rPr>
      </w:pPr>
    </w:p>
    <w:p>
      <w:pPr>
        <w:pStyle w:val="0"/>
        <w:suppressAutoHyphens w:val="1"/>
        <w:wordWrap w:val="0"/>
        <w:ind w:firstLine="240" w:firstLineChars="100"/>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記載上の注意</w:t>
      </w:r>
    </w:p>
    <w:p>
      <w:pPr>
        <w:pStyle w:val="0"/>
        <w:suppressAutoHyphens w:val="1"/>
        <w:wordWrap w:val="0"/>
        <w:ind w:left="210" w:leftChars="100" w:firstLine="240" w:firstLineChars="100"/>
        <w:jc w:val="left"/>
        <w:textAlignment w:val="baseline"/>
        <w:rPr>
          <w:rFonts w:hint="default" w:asciiTheme="minorEastAsia" w:hAnsiTheme="minorEastAsia"/>
          <w:color w:val="000000"/>
          <w:kern w:val="0"/>
          <w:sz w:val="24"/>
        </w:rPr>
      </w:pPr>
      <w:r>
        <w:rPr>
          <w:rFonts w:hint="eastAsia" w:asciiTheme="minorEastAsia" w:hAnsiTheme="minorEastAsia"/>
          <w:color w:val="000000"/>
          <w:kern w:val="0"/>
          <w:sz w:val="24"/>
        </w:rPr>
        <w:t>添付資料は不要。</w:t>
      </w:r>
    </w:p>
    <w:p>
      <w:pPr>
        <w:pStyle w:val="0"/>
        <w:ind w:firstLine="240" w:firstLineChars="100"/>
        <w:jc w:val="left"/>
        <w:rPr>
          <w:rFonts w:hint="default" w:asciiTheme="minorEastAsia" w:hAnsiTheme="minorEastAsia"/>
          <w:sz w:val="24"/>
        </w:rPr>
      </w:pP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Theme="majorEastAsia" w:hAnsiTheme="majorEastAsia" w:eastAsiaTheme="majorEastAsia"/>
      <w:sz w:val="24"/>
    </w:rPr>
  </w:style>
  <w:style w:type="character" w:styleId="30" w:customStyle="1">
    <w:name w:val="記 (文字)"/>
    <w:basedOn w:val="10"/>
    <w:next w:val="30"/>
    <w:link w:val="29"/>
    <w:uiPriority w:val="0"/>
    <w:rPr>
      <w:rFonts w:asciiTheme="majorEastAsia" w:hAnsiTheme="majorEastAsia" w:eastAsiaTheme="majorEastAsia"/>
      <w:sz w:val="24"/>
    </w:rPr>
  </w:style>
  <w:style w:type="paragraph" w:styleId="31">
    <w:name w:val="Closing"/>
    <w:basedOn w:val="0"/>
    <w:next w:val="31"/>
    <w:link w:val="32"/>
    <w:uiPriority w:val="0"/>
    <w:pPr>
      <w:jc w:val="right"/>
    </w:pPr>
    <w:rPr>
      <w:rFonts w:asciiTheme="majorEastAsia" w:hAnsiTheme="majorEastAsia" w:eastAsiaTheme="majorEastAsia"/>
      <w:sz w:val="24"/>
    </w:rPr>
  </w:style>
  <w:style w:type="character" w:styleId="32" w:customStyle="1">
    <w:name w:val="結語 (文字)"/>
    <w:basedOn w:val="10"/>
    <w:next w:val="32"/>
    <w:link w:val="31"/>
    <w:uiPriority w:val="0"/>
    <w:rPr>
      <w:rFonts w:asciiTheme="majorEastAsia" w:hAnsiTheme="majorEastAsia" w:eastAsiaTheme="majorEastAsia"/>
      <w:sz w:val="24"/>
    </w:rPr>
  </w:style>
  <w:style w:type="character" w:styleId="33">
    <w:name w:val="Hyperlink"/>
    <w:basedOn w:val="10"/>
    <w:next w:val="33"/>
    <w:link w:val="0"/>
    <w:uiPriority w:val="0"/>
    <w:rPr>
      <w:color w:val="0000FF" w:themeColor="hyperlink"/>
      <w:u w:val="single" w:color="auto"/>
    </w:rPr>
  </w:style>
  <w:style w:type="paragraph" w:styleId="34">
    <w:name w:val="Revision"/>
    <w:next w:val="34"/>
    <w:link w:val="0"/>
    <w:uiPriority w:val="0"/>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2</Pages>
  <Words>2</Words>
  <Characters>542</Characters>
  <Application>JUST Note</Application>
  <Lines>79</Lines>
  <Paragraphs>41</Paragraphs>
  <Company>厚生労働省</Company>
  <CharactersWithSpaces>805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imuyakumu036</cp:lastModifiedBy>
  <cp:lastPrinted>2020-04-09T12:14:00Z</cp:lastPrinted>
  <dcterms:created xsi:type="dcterms:W3CDTF">2020-04-08T10:13:00Z</dcterms:created>
  <dcterms:modified xsi:type="dcterms:W3CDTF">2020-04-24T05:25:29Z</dcterms:modified>
  <cp:revision>24</cp:revision>
</cp:coreProperties>
</file>