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別記様式４８－２（３</w:t>
      </w:r>
      <w:bookmarkStart w:id="0" w:name="_GoBack"/>
      <w:bookmarkEnd w:id="0"/>
      <w:r>
        <w:rPr>
          <w:rFonts w:hint="eastAsia" w:ascii="ＭＳ 明朝" w:hAnsi="ＭＳ 明朝" w:eastAsia="ＭＳ 明朝"/>
        </w:rPr>
        <w:t>）</w:t>
      </w:r>
    </w:p>
    <w:p>
      <w:pPr>
        <w:pStyle w:val="0"/>
        <w:rPr>
          <w:rFonts w:hint="default"/>
        </w:rPr>
      </w:pPr>
    </w:p>
    <w:p>
      <w:pPr>
        <w:pStyle w:val="0"/>
        <w:rPr>
          <w:rFonts w:hint="default" w:ascii="ＭＳ 明朝" w:hAnsi="ＭＳ 明朝" w:eastAsia="ＭＳ 明朝"/>
        </w:rPr>
      </w:pPr>
      <w:r>
        <w:rPr>
          <w:rFonts w:hint="eastAsia" w:ascii="ＭＳ 明朝" w:hAnsi="ＭＳ 明朝" w:eastAsia="ＭＳ 明朝"/>
        </w:rPr>
        <w:t>維持管理基準等への対応状況（その他施設）</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１　共通事項</w:t>
      </w:r>
    </w:p>
    <w:tbl>
      <w:tblPr>
        <w:tblStyle w:val="20"/>
        <w:tblW w:w="10485" w:type="dxa"/>
        <w:tblInd w:w="0" w:type="dxa"/>
        <w:tblLayout w:type="fixed"/>
        <w:tblLook w:firstRow="1" w:lastRow="0" w:firstColumn="1" w:lastColumn="0" w:noHBand="0" w:noVBand="1" w:val="04A0"/>
      </w:tblPr>
      <w:tblGrid>
        <w:gridCol w:w="5382"/>
        <w:gridCol w:w="5103"/>
      </w:tblGrid>
      <w:tr>
        <w:trPr>
          <w:tblHeader/>
        </w:trPr>
        <w:tc>
          <w:tcPr>
            <w:tcW w:w="5382"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F2"/>
            <w:vAlign w:val="top"/>
          </w:tcPr>
          <w:p>
            <w:pPr>
              <w:pStyle w:val="0"/>
              <w:jc w:val="center"/>
              <w:rPr>
                <w:rFonts w:hint="default" w:ascii="ＭＳ 明朝" w:hAnsi="ＭＳ 明朝" w:eastAsia="ＭＳ 明朝"/>
              </w:rPr>
            </w:pPr>
            <w:r>
              <w:rPr>
                <w:rFonts w:hint="eastAsia" w:ascii="ＭＳ 明朝" w:hAnsi="ＭＳ 明朝" w:eastAsia="ＭＳ 明朝"/>
              </w:rPr>
              <w:t>構造基準</w:t>
            </w:r>
          </w:p>
        </w:tc>
        <w:tc>
          <w:tcPr>
            <w:tcW w:w="5103"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F2"/>
            <w:vAlign w:val="top"/>
          </w:tcPr>
          <w:p>
            <w:pPr>
              <w:pStyle w:val="0"/>
              <w:jc w:val="center"/>
              <w:rPr>
                <w:rFonts w:hint="default" w:ascii="ＭＳ 明朝" w:hAnsi="ＭＳ 明朝" w:eastAsia="ＭＳ 明朝"/>
              </w:rPr>
            </w:pPr>
            <w:r>
              <w:rPr>
                <w:rFonts w:hint="eastAsia" w:ascii="ＭＳ 明朝" w:hAnsi="ＭＳ 明朝" w:eastAsia="ＭＳ 明朝"/>
              </w:rPr>
              <w:t>対応状況</w:t>
            </w:r>
          </w:p>
        </w:tc>
      </w:tr>
      <w:tr>
        <w:trPr>
          <w:trHeight w:val="1074" w:hRule="atLeast"/>
        </w:trPr>
        <w:tc>
          <w:tcPr>
            <w:tcW w:w="538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受け入れる産業廃棄物の種類及び量が当該施設の処理能力に見合った適正なものとなるよう、受け入れる際に、必要な当該産業廃棄物の性状の分析又は計量を行うこと。【廃棄物の処理及び清掃に関する法律施行規則（以下「省令」という。）第</w:t>
            </w:r>
            <w:r>
              <w:rPr>
                <w:rFonts w:hint="eastAsia" w:ascii="ＭＳ 明朝" w:hAnsi="ＭＳ 明朝" w:eastAsia="ＭＳ 明朝"/>
              </w:rPr>
              <w:t>12</w:t>
            </w:r>
            <w:r>
              <w:rPr>
                <w:rFonts w:hint="eastAsia" w:ascii="ＭＳ 明朝" w:hAnsi="ＭＳ 明朝" w:eastAsia="ＭＳ 明朝"/>
              </w:rPr>
              <w:t>条の</w:t>
            </w:r>
            <w:r>
              <w:rPr>
                <w:rFonts w:hint="eastAsia" w:ascii="ＭＳ 明朝" w:hAnsi="ＭＳ 明朝" w:eastAsia="ＭＳ 明朝"/>
              </w:rPr>
              <w:t>6</w:t>
            </w:r>
            <w:r>
              <w:rPr>
                <w:rFonts w:hint="eastAsia" w:ascii="ＭＳ 明朝" w:hAnsi="ＭＳ 明朝" w:eastAsia="ＭＳ 明朝"/>
              </w:rPr>
              <w:t>第</w:t>
            </w:r>
            <w:r>
              <w:rPr>
                <w:rFonts w:hint="eastAsia" w:ascii="ＭＳ 明朝" w:hAnsi="ＭＳ 明朝" w:eastAsia="ＭＳ 明朝"/>
              </w:rPr>
              <w:t>1</w:t>
            </w:r>
            <w:r>
              <w:rPr>
                <w:rFonts w:hint="eastAsia" w:ascii="ＭＳ 明朝" w:hAnsi="ＭＳ 明朝" w:eastAsia="ＭＳ 明朝"/>
              </w:rPr>
              <w:t>号】</w:t>
            </w:r>
          </w:p>
        </w:tc>
        <w:tc>
          <w:tcPr>
            <w:tcW w:w="510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trHeight w:val="1407"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施設への産業廃棄物の投入は、当該施設の処理能力を超えないように行うこと。</w:t>
            </w:r>
          </w:p>
          <w:p>
            <w:pPr>
              <w:pStyle w:val="0"/>
              <w:rPr>
                <w:rFonts w:hint="default" w:ascii="ＭＳ 明朝" w:hAnsi="ＭＳ 明朝" w:eastAsia="ＭＳ 明朝"/>
              </w:rPr>
            </w:pPr>
            <w:r>
              <w:rPr>
                <w:rFonts w:hint="eastAsia" w:ascii="ＭＳ 明朝" w:hAnsi="ＭＳ 明朝" w:eastAsia="ＭＳ 明朝"/>
              </w:rPr>
              <w:t>【省令第</w:t>
            </w:r>
            <w:r>
              <w:rPr>
                <w:rFonts w:hint="eastAsia" w:ascii="ＭＳ 明朝" w:hAnsi="ＭＳ 明朝" w:eastAsia="ＭＳ 明朝"/>
              </w:rPr>
              <w:t>12</w:t>
            </w:r>
            <w:r>
              <w:rPr>
                <w:rFonts w:hint="eastAsia" w:ascii="ＭＳ 明朝" w:hAnsi="ＭＳ 明朝" w:eastAsia="ＭＳ 明朝"/>
              </w:rPr>
              <w:t>条の</w:t>
            </w:r>
            <w:r>
              <w:rPr>
                <w:rFonts w:hint="eastAsia" w:ascii="ＭＳ 明朝" w:hAnsi="ＭＳ 明朝" w:eastAsia="ＭＳ 明朝"/>
              </w:rPr>
              <w:t>6</w:t>
            </w:r>
            <w:r>
              <w:rPr>
                <w:rFonts w:hint="eastAsia" w:ascii="ＭＳ 明朝" w:hAnsi="ＭＳ 明朝" w:eastAsia="ＭＳ 明朝"/>
              </w:rPr>
              <w:t>第</w:t>
            </w:r>
            <w:r>
              <w:rPr>
                <w:rFonts w:hint="eastAsia" w:ascii="ＭＳ 明朝" w:hAnsi="ＭＳ 明朝" w:eastAsia="ＭＳ 明朝"/>
              </w:rPr>
              <w:t>2</w:t>
            </w:r>
            <w:r>
              <w:rPr>
                <w:rFonts w:hint="eastAsia" w:ascii="ＭＳ 明朝" w:hAnsi="ＭＳ 明朝" w:eastAsia="ＭＳ 明朝"/>
              </w:rPr>
              <w:t>号】</w:t>
            </w:r>
          </w:p>
        </w:tc>
        <w:tc>
          <w:tcPr>
            <w:tcW w:w="5103" w:type="dxa"/>
            <w:vAlign w:val="top"/>
          </w:tcPr>
          <w:p>
            <w:pPr>
              <w:pStyle w:val="0"/>
              <w:rPr>
                <w:rFonts w:hint="default" w:ascii="ＭＳ 明朝" w:hAnsi="ＭＳ 明朝" w:eastAsia="ＭＳ 明朝"/>
              </w:rPr>
            </w:pPr>
          </w:p>
        </w:tc>
      </w:tr>
      <w:tr>
        <w:trPr>
          <w:trHeight w:val="1372"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産業廃棄物が施設から流出する等の異常な事態が生じたときは、直ちに施設の運転を停止し、流出した産業廃棄物の回収その他の生活環境の保全上必要な措置を講ずること。</w:t>
            </w:r>
          </w:p>
          <w:p>
            <w:pPr>
              <w:pStyle w:val="0"/>
              <w:rPr>
                <w:rFonts w:hint="default" w:ascii="ＭＳ 明朝" w:hAnsi="ＭＳ 明朝" w:eastAsia="ＭＳ 明朝"/>
              </w:rPr>
            </w:pPr>
            <w:r>
              <w:rPr>
                <w:rFonts w:hint="eastAsia" w:ascii="ＭＳ 明朝" w:hAnsi="ＭＳ 明朝" w:eastAsia="ＭＳ 明朝"/>
              </w:rPr>
              <w:t>【省令第</w:t>
            </w:r>
            <w:r>
              <w:rPr>
                <w:rFonts w:hint="eastAsia" w:ascii="ＭＳ 明朝" w:hAnsi="ＭＳ 明朝" w:eastAsia="ＭＳ 明朝"/>
              </w:rPr>
              <w:t>12</w:t>
            </w:r>
            <w:r>
              <w:rPr>
                <w:rFonts w:hint="eastAsia" w:ascii="ＭＳ 明朝" w:hAnsi="ＭＳ 明朝" w:eastAsia="ＭＳ 明朝"/>
              </w:rPr>
              <w:t>条の</w:t>
            </w:r>
            <w:r>
              <w:rPr>
                <w:rFonts w:hint="eastAsia" w:ascii="ＭＳ 明朝" w:hAnsi="ＭＳ 明朝" w:eastAsia="ＭＳ 明朝"/>
              </w:rPr>
              <w:t>6</w:t>
            </w:r>
            <w:r>
              <w:rPr>
                <w:rFonts w:hint="eastAsia" w:ascii="ＭＳ 明朝" w:hAnsi="ＭＳ 明朝" w:eastAsia="ＭＳ 明朝"/>
              </w:rPr>
              <w:t>第</w:t>
            </w:r>
            <w:r>
              <w:rPr>
                <w:rFonts w:hint="eastAsia" w:ascii="ＭＳ 明朝" w:hAnsi="ＭＳ 明朝" w:eastAsia="ＭＳ 明朝"/>
              </w:rPr>
              <w:t>3</w:t>
            </w:r>
            <w:r>
              <w:rPr>
                <w:rFonts w:hint="eastAsia" w:ascii="ＭＳ 明朝" w:hAnsi="ＭＳ 明朝" w:eastAsia="ＭＳ 明朝"/>
              </w:rPr>
              <w:t>号】</w:t>
            </w:r>
          </w:p>
        </w:tc>
        <w:tc>
          <w:tcPr>
            <w:tcW w:w="5103" w:type="dxa"/>
            <w:vAlign w:val="top"/>
          </w:tcPr>
          <w:p>
            <w:pPr>
              <w:pStyle w:val="0"/>
              <w:rPr>
                <w:rFonts w:hint="default" w:ascii="ＭＳ 明朝" w:hAnsi="ＭＳ 明朝" w:eastAsia="ＭＳ 明朝"/>
              </w:rPr>
            </w:pPr>
          </w:p>
        </w:tc>
      </w:tr>
      <w:tr>
        <w:trPr>
          <w:trHeight w:val="1052"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施設の正常な機能を維持するため、定期的に施設の点検及び機能検査を行うこと。</w:t>
            </w:r>
          </w:p>
          <w:p>
            <w:pPr>
              <w:pStyle w:val="0"/>
              <w:rPr>
                <w:rFonts w:hint="default" w:ascii="ＭＳ 明朝" w:hAnsi="ＭＳ 明朝" w:eastAsia="ＭＳ 明朝"/>
              </w:rPr>
            </w:pPr>
            <w:r>
              <w:rPr>
                <w:rFonts w:hint="eastAsia" w:ascii="ＭＳ 明朝" w:hAnsi="ＭＳ 明朝" w:eastAsia="ＭＳ 明朝"/>
              </w:rPr>
              <w:t>【省令第</w:t>
            </w:r>
            <w:r>
              <w:rPr>
                <w:rFonts w:hint="eastAsia" w:ascii="ＭＳ 明朝" w:hAnsi="ＭＳ 明朝" w:eastAsia="ＭＳ 明朝"/>
              </w:rPr>
              <w:t>12</w:t>
            </w:r>
            <w:r>
              <w:rPr>
                <w:rFonts w:hint="eastAsia" w:ascii="ＭＳ 明朝" w:hAnsi="ＭＳ 明朝" w:eastAsia="ＭＳ 明朝"/>
              </w:rPr>
              <w:t>条の</w:t>
            </w:r>
            <w:r>
              <w:rPr>
                <w:rFonts w:hint="eastAsia" w:ascii="ＭＳ 明朝" w:hAnsi="ＭＳ 明朝" w:eastAsia="ＭＳ 明朝"/>
              </w:rPr>
              <w:t>6</w:t>
            </w:r>
            <w:r>
              <w:rPr>
                <w:rFonts w:hint="eastAsia" w:ascii="ＭＳ 明朝" w:hAnsi="ＭＳ 明朝" w:eastAsia="ＭＳ 明朝"/>
              </w:rPr>
              <w:t>第</w:t>
            </w:r>
            <w:r>
              <w:rPr>
                <w:rFonts w:hint="eastAsia" w:ascii="ＭＳ 明朝" w:hAnsi="ＭＳ 明朝" w:eastAsia="ＭＳ 明朝"/>
              </w:rPr>
              <w:t>4</w:t>
            </w:r>
            <w:r>
              <w:rPr>
                <w:rFonts w:hint="eastAsia" w:ascii="ＭＳ 明朝" w:hAnsi="ＭＳ 明朝" w:eastAsia="ＭＳ 明朝"/>
              </w:rPr>
              <w:t>号】</w:t>
            </w:r>
          </w:p>
        </w:tc>
        <w:tc>
          <w:tcPr>
            <w:tcW w:w="5103" w:type="dxa"/>
            <w:vAlign w:val="top"/>
          </w:tcPr>
          <w:p>
            <w:pPr>
              <w:pStyle w:val="0"/>
              <w:rPr>
                <w:rFonts w:hint="default" w:ascii="ＭＳ 明朝" w:hAnsi="ＭＳ 明朝" w:eastAsia="ＭＳ 明朝"/>
              </w:rPr>
            </w:pPr>
          </w:p>
        </w:tc>
      </w:tr>
      <w:tr>
        <w:trPr>
          <w:trHeight w:val="1379"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産業廃棄物の飛散及び流出並びに悪臭の発散を防止するために必要な措置を講ずること。</w:t>
            </w:r>
          </w:p>
          <w:p>
            <w:pPr>
              <w:pStyle w:val="0"/>
              <w:rPr>
                <w:rFonts w:hint="default" w:ascii="ＭＳ 明朝" w:hAnsi="ＭＳ 明朝" w:eastAsia="ＭＳ 明朝"/>
              </w:rPr>
            </w:pPr>
            <w:r>
              <w:rPr>
                <w:rFonts w:hint="eastAsia" w:ascii="ＭＳ 明朝" w:hAnsi="ＭＳ 明朝" w:eastAsia="ＭＳ 明朝"/>
              </w:rPr>
              <w:t>【省令第</w:t>
            </w:r>
            <w:r>
              <w:rPr>
                <w:rFonts w:hint="default" w:ascii="ＭＳ 明朝" w:hAnsi="ＭＳ 明朝" w:eastAsia="ＭＳ 明朝"/>
              </w:rPr>
              <w:t>12</w:t>
            </w:r>
            <w:r>
              <w:rPr>
                <w:rFonts w:hint="default" w:ascii="ＭＳ 明朝" w:hAnsi="ＭＳ 明朝" w:eastAsia="ＭＳ 明朝"/>
              </w:rPr>
              <w:t>条の</w:t>
            </w:r>
            <w:r>
              <w:rPr>
                <w:rFonts w:hint="default" w:ascii="ＭＳ 明朝" w:hAnsi="ＭＳ 明朝" w:eastAsia="ＭＳ 明朝"/>
              </w:rPr>
              <w:t>6</w:t>
            </w:r>
            <w:r>
              <w:rPr>
                <w:rFonts w:hint="default" w:ascii="ＭＳ 明朝" w:hAnsi="ＭＳ 明朝" w:eastAsia="ＭＳ 明朝"/>
              </w:rPr>
              <w:t>第</w:t>
            </w:r>
            <w:r>
              <w:rPr>
                <w:rFonts w:hint="eastAsia" w:ascii="ＭＳ 明朝" w:hAnsi="ＭＳ 明朝" w:eastAsia="ＭＳ 明朝"/>
              </w:rPr>
              <w:t>5</w:t>
            </w:r>
            <w:r>
              <w:rPr>
                <w:rFonts w:hint="default" w:ascii="ＭＳ 明朝" w:hAnsi="ＭＳ 明朝" w:eastAsia="ＭＳ 明朝"/>
              </w:rPr>
              <w:t>号</w:t>
            </w:r>
            <w:r>
              <w:rPr>
                <w:rFonts w:hint="eastAsia" w:ascii="ＭＳ 明朝" w:hAnsi="ＭＳ 明朝" w:eastAsia="ＭＳ 明朝"/>
              </w:rPr>
              <w:t>】</w:t>
            </w:r>
          </w:p>
        </w:tc>
        <w:tc>
          <w:tcPr>
            <w:tcW w:w="5103" w:type="dxa"/>
            <w:vAlign w:val="top"/>
          </w:tcPr>
          <w:p>
            <w:pPr>
              <w:pStyle w:val="0"/>
              <w:rPr>
                <w:rFonts w:hint="default" w:ascii="ＭＳ 明朝" w:hAnsi="ＭＳ 明朝" w:eastAsia="ＭＳ 明朝"/>
              </w:rPr>
            </w:pPr>
          </w:p>
        </w:tc>
      </w:tr>
      <w:tr>
        <w:trPr>
          <w:trHeight w:val="1500"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蚊、はえ等の発生の防止に努め、構内の清潔を保持すること。</w:t>
            </w:r>
          </w:p>
          <w:p>
            <w:pPr>
              <w:pStyle w:val="0"/>
              <w:rPr>
                <w:rFonts w:hint="default" w:ascii="ＭＳ 明朝" w:hAnsi="ＭＳ 明朝" w:eastAsia="ＭＳ 明朝"/>
              </w:rPr>
            </w:pPr>
            <w:r>
              <w:rPr>
                <w:rFonts w:hint="eastAsia" w:ascii="ＭＳ 明朝" w:hAnsi="ＭＳ 明朝" w:eastAsia="ＭＳ 明朝"/>
              </w:rPr>
              <w:t>【省令第</w:t>
            </w:r>
            <w:r>
              <w:rPr>
                <w:rFonts w:hint="default" w:ascii="ＭＳ 明朝" w:hAnsi="ＭＳ 明朝" w:eastAsia="ＭＳ 明朝"/>
              </w:rPr>
              <w:t>12</w:t>
            </w:r>
            <w:r>
              <w:rPr>
                <w:rFonts w:hint="default" w:ascii="ＭＳ 明朝" w:hAnsi="ＭＳ 明朝" w:eastAsia="ＭＳ 明朝"/>
              </w:rPr>
              <w:t>条の</w:t>
            </w:r>
            <w:r>
              <w:rPr>
                <w:rFonts w:hint="default" w:ascii="ＭＳ 明朝" w:hAnsi="ＭＳ 明朝" w:eastAsia="ＭＳ 明朝"/>
              </w:rPr>
              <w:t>6</w:t>
            </w:r>
            <w:r>
              <w:rPr>
                <w:rFonts w:hint="default" w:ascii="ＭＳ 明朝" w:hAnsi="ＭＳ 明朝" w:eastAsia="ＭＳ 明朝"/>
              </w:rPr>
              <w:t>第</w:t>
            </w:r>
            <w:r>
              <w:rPr>
                <w:rFonts w:hint="eastAsia" w:ascii="ＭＳ 明朝" w:hAnsi="ＭＳ 明朝" w:eastAsia="ＭＳ 明朝"/>
              </w:rPr>
              <w:t>6</w:t>
            </w:r>
            <w:r>
              <w:rPr>
                <w:rFonts w:hint="default" w:ascii="ＭＳ 明朝" w:hAnsi="ＭＳ 明朝" w:eastAsia="ＭＳ 明朝"/>
              </w:rPr>
              <w:t>号</w:t>
            </w:r>
            <w:r>
              <w:rPr>
                <w:rFonts w:hint="eastAsia" w:ascii="ＭＳ 明朝" w:hAnsi="ＭＳ 明朝" w:eastAsia="ＭＳ 明朝"/>
              </w:rPr>
              <w:t>】</w:t>
            </w:r>
          </w:p>
        </w:tc>
        <w:tc>
          <w:tcPr>
            <w:tcW w:w="5103" w:type="dxa"/>
            <w:vAlign w:val="top"/>
          </w:tcPr>
          <w:p>
            <w:pPr>
              <w:pStyle w:val="0"/>
              <w:rPr>
                <w:rFonts w:hint="default" w:ascii="ＭＳ 明朝" w:hAnsi="ＭＳ 明朝" w:eastAsia="ＭＳ 明朝"/>
              </w:rPr>
            </w:pPr>
          </w:p>
        </w:tc>
      </w:tr>
      <w:tr>
        <w:trPr>
          <w:trHeight w:val="1500"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著しい騒音及び振動の発生により周囲の生活環境を損なわないように必要な措置を講ずること。</w:t>
            </w:r>
          </w:p>
          <w:p>
            <w:pPr>
              <w:pStyle w:val="0"/>
              <w:rPr>
                <w:rFonts w:hint="eastAsia" w:ascii="ＭＳ 明朝" w:hAnsi="ＭＳ 明朝" w:eastAsia="ＭＳ 明朝"/>
              </w:rPr>
            </w:pPr>
            <w:r>
              <w:rPr>
                <w:rFonts w:hint="eastAsia" w:ascii="ＭＳ 明朝" w:hAnsi="ＭＳ 明朝" w:eastAsia="ＭＳ 明朝"/>
              </w:rPr>
              <w:t>【省令第</w:t>
            </w:r>
            <w:r>
              <w:rPr>
                <w:rFonts w:hint="default" w:ascii="ＭＳ 明朝" w:hAnsi="ＭＳ 明朝" w:eastAsia="ＭＳ 明朝"/>
              </w:rPr>
              <w:t>12</w:t>
            </w:r>
            <w:r>
              <w:rPr>
                <w:rFonts w:hint="default" w:ascii="ＭＳ 明朝" w:hAnsi="ＭＳ 明朝" w:eastAsia="ＭＳ 明朝"/>
              </w:rPr>
              <w:t>条の</w:t>
            </w:r>
            <w:r>
              <w:rPr>
                <w:rFonts w:hint="default" w:ascii="ＭＳ 明朝" w:hAnsi="ＭＳ 明朝" w:eastAsia="ＭＳ 明朝"/>
              </w:rPr>
              <w:t>6</w:t>
            </w:r>
            <w:r>
              <w:rPr>
                <w:rFonts w:hint="default" w:ascii="ＭＳ 明朝" w:hAnsi="ＭＳ 明朝" w:eastAsia="ＭＳ 明朝"/>
              </w:rPr>
              <w:t>第</w:t>
            </w:r>
            <w:r>
              <w:rPr>
                <w:rFonts w:hint="eastAsia" w:ascii="ＭＳ 明朝" w:hAnsi="ＭＳ 明朝" w:eastAsia="ＭＳ 明朝"/>
              </w:rPr>
              <w:t>7</w:t>
            </w:r>
            <w:r>
              <w:rPr>
                <w:rFonts w:hint="default" w:ascii="ＭＳ 明朝" w:hAnsi="ＭＳ 明朝" w:eastAsia="ＭＳ 明朝"/>
              </w:rPr>
              <w:t>号</w:t>
            </w:r>
            <w:r>
              <w:rPr>
                <w:rFonts w:hint="eastAsia" w:ascii="ＭＳ 明朝" w:hAnsi="ＭＳ 明朝" w:eastAsia="ＭＳ 明朝"/>
              </w:rPr>
              <w:t>】</w:t>
            </w:r>
          </w:p>
        </w:tc>
        <w:tc>
          <w:tcPr>
            <w:tcW w:w="5103" w:type="dxa"/>
            <w:vAlign w:val="top"/>
          </w:tcPr>
          <w:p>
            <w:pPr>
              <w:pStyle w:val="0"/>
              <w:rPr>
                <w:rFonts w:hint="default" w:ascii="ＭＳ 明朝" w:hAnsi="ＭＳ 明朝" w:eastAsia="ＭＳ 明朝"/>
              </w:rPr>
            </w:pPr>
          </w:p>
        </w:tc>
      </w:tr>
      <w:tr>
        <w:trPr>
          <w:trHeight w:val="1500"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施設から排水を放流する場合は、その水質を生活環境保全上の支障が生じないものとするとともに、定期的に放流水の水質検査を行うこと。</w:t>
            </w:r>
          </w:p>
          <w:p>
            <w:pPr>
              <w:pStyle w:val="0"/>
              <w:rPr>
                <w:rFonts w:hint="eastAsia" w:ascii="ＭＳ 明朝" w:hAnsi="ＭＳ 明朝" w:eastAsia="ＭＳ 明朝"/>
              </w:rPr>
            </w:pPr>
            <w:r>
              <w:rPr>
                <w:rFonts w:hint="eastAsia" w:ascii="ＭＳ 明朝" w:hAnsi="ＭＳ 明朝" w:eastAsia="ＭＳ 明朝"/>
              </w:rPr>
              <w:t>【省令第</w:t>
            </w:r>
            <w:r>
              <w:rPr>
                <w:rFonts w:hint="default" w:ascii="ＭＳ 明朝" w:hAnsi="ＭＳ 明朝" w:eastAsia="ＭＳ 明朝"/>
              </w:rPr>
              <w:t>12</w:t>
            </w:r>
            <w:r>
              <w:rPr>
                <w:rFonts w:hint="default" w:ascii="ＭＳ 明朝" w:hAnsi="ＭＳ 明朝" w:eastAsia="ＭＳ 明朝"/>
              </w:rPr>
              <w:t>条の</w:t>
            </w:r>
            <w:r>
              <w:rPr>
                <w:rFonts w:hint="default" w:ascii="ＭＳ 明朝" w:hAnsi="ＭＳ 明朝" w:eastAsia="ＭＳ 明朝"/>
              </w:rPr>
              <w:t>6</w:t>
            </w:r>
            <w:r>
              <w:rPr>
                <w:rFonts w:hint="default" w:ascii="ＭＳ 明朝" w:hAnsi="ＭＳ 明朝" w:eastAsia="ＭＳ 明朝"/>
              </w:rPr>
              <w:t>第</w:t>
            </w:r>
            <w:r>
              <w:rPr>
                <w:rFonts w:hint="eastAsia" w:ascii="ＭＳ 明朝" w:hAnsi="ＭＳ 明朝" w:eastAsia="ＭＳ 明朝"/>
              </w:rPr>
              <w:t>8</w:t>
            </w:r>
            <w:r>
              <w:rPr>
                <w:rFonts w:hint="default" w:ascii="ＭＳ 明朝" w:hAnsi="ＭＳ 明朝" w:eastAsia="ＭＳ 明朝"/>
              </w:rPr>
              <w:t>号</w:t>
            </w:r>
            <w:r>
              <w:rPr>
                <w:rFonts w:hint="eastAsia" w:ascii="ＭＳ 明朝" w:hAnsi="ＭＳ 明朝" w:eastAsia="ＭＳ 明朝"/>
              </w:rPr>
              <w:t>】</w:t>
            </w:r>
          </w:p>
        </w:tc>
        <w:tc>
          <w:tcPr>
            <w:tcW w:w="5103" w:type="dxa"/>
            <w:vAlign w:val="top"/>
          </w:tcPr>
          <w:p>
            <w:pPr>
              <w:pStyle w:val="0"/>
              <w:rPr>
                <w:rFonts w:hint="default" w:ascii="ＭＳ 明朝" w:hAnsi="ＭＳ 明朝" w:eastAsia="ＭＳ 明朝"/>
              </w:rPr>
            </w:pPr>
          </w:p>
        </w:tc>
      </w:tr>
      <w:tr>
        <w:trPr>
          <w:trHeight w:val="1500"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施設の維持管理に関する点検、検査その他の措置（法第二十一条の二第一項に規定する応急の措置を含む。）の記録を作成し、三年間保存すること。</w:t>
            </w:r>
          </w:p>
          <w:p>
            <w:pPr>
              <w:pStyle w:val="0"/>
              <w:rPr>
                <w:rFonts w:hint="eastAsia" w:ascii="ＭＳ 明朝" w:hAnsi="ＭＳ 明朝" w:eastAsia="ＭＳ 明朝"/>
              </w:rPr>
            </w:pPr>
            <w:r>
              <w:rPr>
                <w:rFonts w:hint="eastAsia" w:ascii="ＭＳ 明朝" w:hAnsi="ＭＳ 明朝" w:eastAsia="ＭＳ 明朝"/>
              </w:rPr>
              <w:t>【省令第</w:t>
            </w:r>
            <w:r>
              <w:rPr>
                <w:rFonts w:hint="default" w:ascii="ＭＳ 明朝" w:hAnsi="ＭＳ 明朝" w:eastAsia="ＭＳ 明朝"/>
              </w:rPr>
              <w:t>12</w:t>
            </w:r>
            <w:r>
              <w:rPr>
                <w:rFonts w:hint="default" w:ascii="ＭＳ 明朝" w:hAnsi="ＭＳ 明朝" w:eastAsia="ＭＳ 明朝"/>
              </w:rPr>
              <w:t>条の</w:t>
            </w:r>
            <w:r>
              <w:rPr>
                <w:rFonts w:hint="default" w:ascii="ＭＳ 明朝" w:hAnsi="ＭＳ 明朝" w:eastAsia="ＭＳ 明朝"/>
              </w:rPr>
              <w:t>6</w:t>
            </w:r>
            <w:r>
              <w:rPr>
                <w:rFonts w:hint="default" w:ascii="ＭＳ 明朝" w:hAnsi="ＭＳ 明朝" w:eastAsia="ＭＳ 明朝"/>
              </w:rPr>
              <w:t>第</w:t>
            </w:r>
            <w:r>
              <w:rPr>
                <w:rFonts w:hint="eastAsia" w:ascii="ＭＳ 明朝" w:hAnsi="ＭＳ 明朝" w:eastAsia="ＭＳ 明朝"/>
              </w:rPr>
              <w:t>9</w:t>
            </w:r>
            <w:r>
              <w:rPr>
                <w:rFonts w:hint="default" w:ascii="ＭＳ 明朝" w:hAnsi="ＭＳ 明朝" w:eastAsia="ＭＳ 明朝"/>
              </w:rPr>
              <w:t>号</w:t>
            </w:r>
            <w:r>
              <w:rPr>
                <w:rFonts w:hint="eastAsia" w:ascii="ＭＳ 明朝" w:hAnsi="ＭＳ 明朝" w:eastAsia="ＭＳ 明朝"/>
              </w:rPr>
              <w:t>】</w:t>
            </w:r>
          </w:p>
        </w:tc>
        <w:tc>
          <w:tcPr>
            <w:tcW w:w="5103" w:type="dxa"/>
            <w:vAlign w:val="top"/>
          </w:tcPr>
          <w:p>
            <w:pPr>
              <w:pStyle w:val="0"/>
              <w:rPr>
                <w:rFonts w:hint="default" w:ascii="ＭＳ 明朝" w:hAnsi="ＭＳ 明朝" w:eastAsia="ＭＳ 明朝"/>
              </w:rPr>
            </w:pPr>
          </w:p>
        </w:tc>
      </w:tr>
    </w:tbl>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２　個別基準</w:t>
      </w:r>
    </w:p>
    <w:p>
      <w:pPr>
        <w:pStyle w:val="0"/>
        <w:rPr>
          <w:rFonts w:hint="default" w:ascii="ＭＳ 明朝" w:hAnsi="ＭＳ 明朝" w:eastAsia="ＭＳ 明朝"/>
        </w:rPr>
      </w:pPr>
      <w:r>
        <w:rPr>
          <w:rFonts w:hint="eastAsia" w:ascii="ＭＳ 明朝" w:hAnsi="ＭＳ 明朝" w:eastAsia="ＭＳ 明朝"/>
        </w:rPr>
        <w:t>　　省令第１２条の７に基づき、施設の種類ごとに適用される基準と、その対応状況を以下に示すこと。</w:t>
      </w:r>
    </w:p>
    <w:tbl>
      <w:tblPr>
        <w:tblStyle w:val="20"/>
        <w:tblW w:w="10485" w:type="dxa"/>
        <w:tblInd w:w="0" w:type="dxa"/>
        <w:tblLayout w:type="fixed"/>
        <w:tblLook w:firstRow="1" w:lastRow="0" w:firstColumn="1" w:lastColumn="0" w:noHBand="0" w:noVBand="1" w:val="04A0"/>
      </w:tblPr>
      <w:tblGrid>
        <w:gridCol w:w="5382"/>
        <w:gridCol w:w="5103"/>
      </w:tblGrid>
      <w:tr>
        <w:trPr>
          <w:tblHeader/>
        </w:trPr>
        <w:tc>
          <w:tcPr>
            <w:tcW w:w="5382"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F2"/>
            <w:vAlign w:val="top"/>
          </w:tcPr>
          <w:p>
            <w:pPr>
              <w:pStyle w:val="0"/>
              <w:jc w:val="center"/>
              <w:rPr>
                <w:rFonts w:hint="default" w:ascii="ＭＳ 明朝" w:hAnsi="ＭＳ 明朝" w:eastAsia="ＭＳ 明朝"/>
              </w:rPr>
            </w:pPr>
            <w:r>
              <w:rPr>
                <w:rFonts w:hint="eastAsia" w:ascii="ＭＳ 明朝" w:hAnsi="ＭＳ 明朝" w:eastAsia="ＭＳ 明朝"/>
              </w:rPr>
              <w:t>構造基準</w:t>
            </w:r>
          </w:p>
        </w:tc>
        <w:tc>
          <w:tcPr>
            <w:tcW w:w="5103"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F2"/>
            <w:vAlign w:val="top"/>
          </w:tcPr>
          <w:p>
            <w:pPr>
              <w:pStyle w:val="0"/>
              <w:jc w:val="center"/>
              <w:rPr>
                <w:rFonts w:hint="default" w:ascii="ＭＳ 明朝" w:hAnsi="ＭＳ 明朝" w:eastAsia="ＭＳ 明朝"/>
              </w:rPr>
            </w:pPr>
            <w:r>
              <w:rPr>
                <w:rFonts w:hint="eastAsia" w:ascii="ＭＳ 明朝" w:hAnsi="ＭＳ 明朝" w:eastAsia="ＭＳ 明朝"/>
              </w:rPr>
              <w:t>対応状況</w:t>
            </w:r>
          </w:p>
        </w:tc>
      </w:tr>
      <w:tr>
        <w:trPr>
          <w:trHeight w:val="1074" w:hRule="atLeast"/>
        </w:trPr>
        <w:tc>
          <w:tcPr>
            <w:tcW w:w="538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510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bl>
    <w:p>
      <w:pPr>
        <w:pStyle w:val="0"/>
        <w:rPr>
          <w:rFonts w:hint="default" w:ascii="ＭＳ 明朝" w:hAnsi="ＭＳ 明朝" w:eastAsia="ＭＳ 明朝"/>
        </w:rPr>
      </w:pPr>
    </w:p>
    <w:sectPr>
      <w:pgSz w:w="11906" w:h="16838"/>
      <w:pgMar w:top="567" w:right="284" w:bottom="56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2</Pages>
  <Words>115</Words>
  <Characters>656</Characters>
  <Application>JUST Note</Application>
  <Lines>5</Lines>
  <Paragraphs>1</Paragraphs>
  <CharactersWithSpaces>770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山田 大介</dc:creator>
  <cp:lastModifiedBy>kankyoshido104</cp:lastModifiedBy>
  <dcterms:created xsi:type="dcterms:W3CDTF">2025-10-10T04:45:00Z</dcterms:created>
  <dcterms:modified xsi:type="dcterms:W3CDTF">2026-03-02T05:21:12Z</dcterms:modified>
  <cp:revision>8</cp:revision>
</cp:coreProperties>
</file>