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別記様式４８－２（１）</w:t>
      </w:r>
      <w:bookmarkStart w:id="0" w:name="_GoBack"/>
      <w:bookmarkEnd w:id="0"/>
    </w:p>
    <w:p>
      <w:pPr>
        <w:pStyle w:val="0"/>
        <w:rPr>
          <w:rFonts w:hint="default"/>
        </w:rPr>
      </w:pPr>
    </w:p>
    <w:p>
      <w:pPr>
        <w:pStyle w:val="0"/>
        <w:rPr>
          <w:rFonts w:hint="default" w:ascii="ＭＳ 明朝" w:hAnsi="ＭＳ 明朝" w:eastAsia="ＭＳ 明朝"/>
        </w:rPr>
      </w:pPr>
      <w:r>
        <w:rPr>
          <w:rFonts w:hint="eastAsia" w:ascii="ＭＳ 明朝" w:hAnsi="ＭＳ 明朝" w:eastAsia="ＭＳ 明朝"/>
        </w:rPr>
        <w:t>維持管理基準等への対応状況（安定型最終処分場）</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22"/>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701"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埋立地の外に一般廃棄物が飛散し、及び流出しないように必要な措置を講ずること。</w:t>
            </w:r>
          </w:p>
          <w:p>
            <w:pPr>
              <w:pStyle w:val="0"/>
              <w:rPr>
                <w:rFonts w:hint="default" w:ascii="ＭＳ 明朝" w:hAnsi="ＭＳ 明朝" w:eastAsia="ＭＳ 明朝"/>
              </w:rPr>
            </w:pPr>
            <w:r>
              <w:rPr>
                <w:rFonts w:hint="eastAsia" w:ascii="ＭＳ 明朝" w:hAnsi="ＭＳ 明朝" w:eastAsia="ＭＳ 明朝"/>
              </w:rPr>
              <w:t>【一般廃棄物の最終処分場及び産業廃棄物の最終処分場に係る技術上の基準を定める省令（以下「基準省令」という。第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最終処分場の外に悪臭が発散しないように必要な措置を講ずること。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火災の発生を防止するために必要な措置を講ずるとともに、消火器その他の消火設備を備えておくこと。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ねずみが生息し、及び蚊、はえその他の害虫が発生しないように薬剤の散布その他必要な措置を講ずること。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前項第二号の規定により設けられた立札その他の設備は、常に見やすい状態にしておくとともに、表示すべき事項に変更が生じた場合には、速やかに書換えその他必要な措置を講ずること。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6</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前項第四号の規定により設けられた擁壁等を定期的に点検し、擁壁等が損壊するおそれがあると認められる場合には、速やかにこれを防止するために必要な措置を講ずること。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7</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残余の埋立容量について一年に一回以上測定し、かつ、記録すること。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19</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め立てられた産業廃棄物の種類（当該産業廃棄物に石綿含有産業廃棄物又は令第三条第三号ヌ（３）に掲げる水銀処理物（以下「基準適合水銀処理物」という。）が含まれる場合は、その旨を含む。）及び数量、最終処分場の維持管理に当たって行った点検、検査その他の措置（法第二十一条の二第一項に規定する応急の措置を含む。）の記録並びに石綿含有一般廃棄物又は基準適合水銀処理物を埋め立てた場合にあってはその位置を示す図面を作成し、当該最終処分場の廃止までの間、保存す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20</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三号イの規定により設けられた囲いは、みだりに人が埋立地に立ち入るのを防止することができるようにしておくこと。ただし、トの規定により閉鎖された埋立地については、同号イ括弧書の規定により設けられた囲い、杭その他の設備により、埋立地の範囲を明らかにしておく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イ</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を埋め立てる前に、最終処分場に搬入した産業廃棄物を展開して当該産業廃棄物への安定型産業廃棄物以外の廃棄物の付着又は混入の有無について目視による検査を行い、その結果、安定型産業廃棄物以外の廃棄物の付着又は混入が認められる場合には、当該産業廃棄物を埋め立てない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号ロ】</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浸透水による最終処分場の周縁の地下水の水質への影響の有無を判断することができる二以上の場所から採取された地下水の水質検査を次により行うこと。</w:t>
            </w:r>
          </w:p>
          <w:p>
            <w:pPr>
              <w:pStyle w:val="0"/>
              <w:ind w:left="315" w:hanging="315" w:hangingChars="1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埋立処分開始前に地下水等検査項目について測定し、かつ、記録すること。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埋立処分開始後、地下水等検査項目について一年に一回以上測定し、かつ、記録すること。ただし、浸透水の水質等に照らして当該最終処分場の周縁の地下水の汚染が生ずるおそれがないことが明らかな項目については、この限りでない。</w:t>
            </w:r>
          </w:p>
          <w:p>
            <w:pPr>
              <w:pStyle w:val="0"/>
              <w:ind w:left="315" w:hanging="315" w:hangingChars="15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ハ</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ハの規定による水質検査の結果、水質の悪化（その原因が当該最終処分場以外にあることが明らかであるものを除く。）が認められる場合には、その原因の調査その他の生活環境の保全上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ニ</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採取設備により採取された浸透水の水質検査を、（１）及び（２）に掲げる項目についてそれぞれ（１）及び（２）に掲げる頻度で行い、かつ、記録すること。</w:t>
            </w:r>
          </w:p>
          <w:p>
            <w:pPr>
              <w:pStyle w:val="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地下水等検査項目　一年に一回以上</w:t>
            </w:r>
          </w:p>
          <w:p>
            <w:pPr>
              <w:pStyle w:val="0"/>
              <w:ind w:left="315" w:hanging="315" w:hangingChars="1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生物化学的酸素要求量又は化学的酸素要求量　一月に一回（埋立処分が終了した埋立地においては、三月に一回）以上</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ホ</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次に掲げる場合には、速やかに最終処分場への産業廃棄物の搬入及び埋立処分の中止その他生活環境の保全上必要な措置を講ずること。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ホ（１）に掲げる項目に係る水質検査の結果、地下水等検査項目のいずれかについて当該地下水等検査項目に係る別表第二下欄に掲げる基準に適合していないとき。</w:t>
            </w:r>
          </w:p>
          <w:p>
            <w:pPr>
              <w:pStyle w:val="0"/>
              <w:ind w:left="315" w:hanging="315" w:hangingChars="1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ホ（２）に掲げる項目に係る水質検査の結果、生物化学的酸素要求量が一リットルにつき二十ミリグラムを超えているとき、又は化学的酸素要求量が一リットルにつき四十ミリグラムを超えているとき。</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ヘ</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ind w:left="315" w:hanging="315" w:hangingChars="150"/>
              <w:rPr>
                <w:rFonts w:hint="default" w:ascii="ＭＳ 明朝" w:hAnsi="ＭＳ 明朝" w:eastAsia="ＭＳ 明朝"/>
              </w:rPr>
            </w:pPr>
            <w:r>
              <w:rPr>
                <w:rFonts w:hint="eastAsia" w:ascii="ＭＳ 明朝" w:hAnsi="ＭＳ 明朝" w:eastAsia="ＭＳ 明朝"/>
              </w:rPr>
              <w:t>埋立処分が終了した埋立地を埋立処分以外の用に供す</w:t>
            </w:r>
          </w:p>
          <w:p>
            <w:pPr>
              <w:pStyle w:val="0"/>
              <w:ind w:left="315" w:hanging="315" w:hangingChars="150"/>
              <w:rPr>
                <w:rFonts w:hint="default" w:ascii="ＭＳ 明朝" w:hAnsi="ＭＳ 明朝" w:eastAsia="ＭＳ 明朝"/>
              </w:rPr>
            </w:pPr>
            <w:r>
              <w:rPr>
                <w:rFonts w:hint="eastAsia" w:ascii="ＭＳ 明朝" w:hAnsi="ＭＳ 明朝" w:eastAsia="ＭＳ 明朝"/>
              </w:rPr>
              <w:t>る場合には、厚さがおおむね五十センチメートル以上の</w:t>
            </w:r>
          </w:p>
          <w:p>
            <w:pPr>
              <w:pStyle w:val="0"/>
              <w:ind w:left="315" w:hanging="315" w:hangingChars="150"/>
              <w:rPr>
                <w:rFonts w:hint="default" w:ascii="ＭＳ 明朝" w:hAnsi="ＭＳ 明朝" w:eastAsia="ＭＳ 明朝"/>
              </w:rPr>
            </w:pPr>
            <w:r>
              <w:rPr>
                <w:rFonts w:hint="eastAsia" w:ascii="ＭＳ 明朝" w:hAnsi="ＭＳ 明朝" w:eastAsia="ＭＳ 明朝"/>
              </w:rPr>
              <w:t>土砂等の覆いにより開口部を閉鎖すること。</w:t>
            </w:r>
          </w:p>
          <w:p>
            <w:pPr>
              <w:pStyle w:val="0"/>
              <w:ind w:left="315" w:hanging="315" w:hangingChars="15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ト</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ind w:left="315" w:hanging="315" w:hangingChars="150"/>
              <w:rPr>
                <w:rFonts w:hint="default" w:ascii="ＭＳ 明朝" w:hAnsi="ＭＳ 明朝" w:eastAsia="ＭＳ 明朝"/>
              </w:rPr>
            </w:pPr>
            <w:r>
              <w:rPr>
                <w:rFonts w:hint="eastAsia" w:ascii="ＭＳ 明朝" w:hAnsi="ＭＳ 明朝" w:eastAsia="ＭＳ 明朝"/>
              </w:rPr>
              <w:t>トの規定により閉鎖した埋立地については、トに規定す</w:t>
            </w:r>
          </w:p>
          <w:p>
            <w:pPr>
              <w:pStyle w:val="0"/>
              <w:ind w:left="315" w:hanging="315" w:hangingChars="150"/>
              <w:rPr>
                <w:rFonts w:hint="default" w:ascii="ＭＳ 明朝" w:hAnsi="ＭＳ 明朝" w:eastAsia="ＭＳ 明朝"/>
              </w:rPr>
            </w:pPr>
            <w:r>
              <w:rPr>
                <w:rFonts w:hint="eastAsia" w:ascii="ＭＳ 明朝" w:hAnsi="ＭＳ 明朝" w:eastAsia="ＭＳ 明朝"/>
              </w:rPr>
              <w:t>る覆いの損壊を防止するために必要な措置を講ずるこ</w:t>
            </w:r>
          </w:p>
          <w:p>
            <w:pPr>
              <w:pStyle w:val="0"/>
              <w:ind w:left="315" w:hanging="315" w:hangingChars="150"/>
              <w:rPr>
                <w:rFonts w:hint="default" w:ascii="ＭＳ 明朝" w:hAnsi="ＭＳ 明朝" w:eastAsia="ＭＳ 明朝"/>
              </w:rPr>
            </w:pPr>
            <w:r>
              <w:rPr>
                <w:rFonts w:hint="eastAsia" w:ascii="ＭＳ 明朝" w:hAnsi="ＭＳ 明朝" w:eastAsia="ＭＳ 明朝"/>
              </w:rPr>
              <w:t>と。</w:t>
            </w:r>
          </w:p>
          <w:p>
            <w:pPr>
              <w:pStyle w:val="0"/>
              <w:ind w:left="315" w:hanging="315" w:hangingChars="15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2</w:t>
            </w:r>
            <w:r>
              <w:rPr>
                <w:rFonts w:hint="default" w:ascii="ＭＳ 明朝" w:hAnsi="ＭＳ 明朝" w:eastAsia="ＭＳ 明朝"/>
              </w:rPr>
              <w:t>号</w:t>
            </w:r>
            <w:r>
              <w:rPr>
                <w:rFonts w:hint="eastAsia" w:ascii="ＭＳ 明朝" w:hAnsi="ＭＳ 明朝" w:eastAsia="ＭＳ 明朝"/>
              </w:rPr>
              <w:t>チ</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3</Pages>
  <Words>73</Words>
  <Characters>2075</Characters>
  <Application>JUST Note</Application>
  <Lines>119</Lines>
  <Paragraphs>46</Paragraphs>
  <CharactersWithSpaces>2077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dcterms:created xsi:type="dcterms:W3CDTF">2025-10-10T04:45:00Z</dcterms:created>
  <dcterms:modified xsi:type="dcterms:W3CDTF">2026-03-02T05:21:26Z</dcterms:modified>
  <cp:revision>8</cp:revision>
</cp:coreProperties>
</file>