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別記様式４７－２（１）</w:t>
      </w:r>
      <w:bookmarkStart w:id="0" w:name="_GoBack"/>
      <w:bookmarkEnd w:id="0"/>
    </w:p>
    <w:p>
      <w:pPr>
        <w:pStyle w:val="0"/>
        <w:rPr>
          <w:rFonts w:hint="default"/>
        </w:rPr>
      </w:pPr>
    </w:p>
    <w:p>
      <w:pPr>
        <w:pStyle w:val="0"/>
        <w:rPr>
          <w:rFonts w:hint="default" w:ascii="ＭＳ 明朝" w:hAnsi="ＭＳ 明朝" w:eastAsia="ＭＳ 明朝"/>
        </w:rPr>
      </w:pPr>
      <w:r>
        <w:rPr>
          <w:rFonts w:hint="eastAsia" w:ascii="ＭＳ 明朝" w:hAnsi="ＭＳ 明朝" w:eastAsia="ＭＳ 明朝"/>
        </w:rPr>
        <w:t>構造基準等への対応状況（安定型最終処分場）</w:t>
      </w:r>
    </w:p>
    <w:p>
      <w:pPr>
        <w:pStyle w:val="0"/>
        <w:rPr>
          <w:rFonts w:hint="default" w:ascii="ＭＳ 明朝" w:hAnsi="ＭＳ 明朝" w:eastAsia="ＭＳ 明朝"/>
        </w:rPr>
      </w:pPr>
    </w:p>
    <w:p>
      <w:pPr>
        <w:pStyle w:val="0"/>
        <w:rPr>
          <w:rFonts w:hint="eastAsia" w:ascii="ＭＳ 明朝" w:hAnsi="ＭＳ 明朝" w:eastAsia="ＭＳ 明朝"/>
        </w:rPr>
      </w:pP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701"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地盤の滑りを防止し、又は最終処分場に設けられる設備の沈下を防止する必要がある場合においては、適当な地滑り防止工又は沈下防止工が設けられていること。</w:t>
            </w:r>
          </w:p>
          <w:p>
            <w:pPr>
              <w:pStyle w:val="0"/>
              <w:rPr>
                <w:rFonts w:hint="default" w:ascii="ＭＳ 明朝" w:hAnsi="ＭＳ 明朝" w:eastAsia="ＭＳ 明朝"/>
              </w:rPr>
            </w:pPr>
            <w:r>
              <w:rPr>
                <w:rFonts w:hint="eastAsia" w:ascii="ＭＳ 明朝" w:hAnsi="ＭＳ 明朝" w:eastAsia="ＭＳ 明朝"/>
              </w:rPr>
              <w:t>【一般廃棄物の最終処分場及び産業廃棄物の最終処分場に係る技術上の基準を定める省令（以下「基準省令」という。第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入口の見やすい箇所に、様式第二により産業廃棄物の最終処分場（令第七条第十四号イに掲げる産業廃棄物の最終処分場（以下「遮断型最終処分場」という。）のうち、令第六条の五第一項第三号イ（１）から（７）までに掲げる特別管理産業廃棄物の埋立処分の用に供されるものにあっては有害な特別管理産業廃棄物の最終処分場、当該特別管理産業廃棄物の埋立処分の用に供されないものにあっては有害な産業廃棄物の最終処分場）であることを表示する立札その他の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1</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立地の周囲には、みだりに人が埋立地に立ち入るのを防止することができる囲い（次項第二号トの規定により閉鎖された埋立地については、埋立地の範囲を明らかにすることができる囲い、杭その他の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号イ】</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埋め立てる一般廃棄物の流出を防止するための擁壁、えん堤その他の設備であって、次の要件を備えたもの（以下「擁壁等」という。）が設けられていること。</w:t>
            </w:r>
          </w:p>
          <w:p>
            <w:pPr>
              <w:pStyle w:val="0"/>
              <w:rPr>
                <w:rFonts w:hint="default" w:ascii="ＭＳ 明朝" w:hAnsi="ＭＳ 明朝" w:eastAsia="ＭＳ 明朝"/>
              </w:rPr>
            </w:pPr>
            <w:r>
              <w:rPr>
                <w:rFonts w:hint="eastAsia" w:ascii="ＭＳ 明朝" w:hAnsi="ＭＳ 明朝" w:eastAsia="ＭＳ 明朝"/>
              </w:rPr>
              <w:t>イ　自重、土圧、水圧、波力、地震力等に対して構造耐</w:t>
            </w:r>
          </w:p>
          <w:p>
            <w:pPr>
              <w:pStyle w:val="0"/>
              <w:ind w:firstLine="210" w:firstLineChars="100"/>
              <w:rPr>
                <w:rFonts w:hint="default" w:ascii="ＭＳ 明朝" w:hAnsi="ＭＳ 明朝" w:eastAsia="ＭＳ 明朝"/>
              </w:rPr>
            </w:pPr>
            <w:r>
              <w:rPr>
                <w:rFonts w:hint="eastAsia" w:ascii="ＭＳ 明朝" w:hAnsi="ＭＳ 明朝" w:eastAsia="ＭＳ 明朝"/>
              </w:rPr>
              <w:t>力上安全であること。</w:t>
            </w:r>
          </w:p>
          <w:p>
            <w:pPr>
              <w:pStyle w:val="0"/>
              <w:rPr>
                <w:rFonts w:hint="default" w:ascii="ＭＳ 明朝" w:hAnsi="ＭＳ 明朝" w:eastAsia="ＭＳ 明朝"/>
              </w:rPr>
            </w:pPr>
            <w:r>
              <w:rPr>
                <w:rFonts w:hint="eastAsia" w:ascii="ＭＳ 明朝" w:hAnsi="ＭＳ 明朝" w:eastAsia="ＭＳ 明朝"/>
              </w:rPr>
              <w:t>ロ　埋め立てる一般廃棄物、地表水、地下水及び土壌の</w:t>
            </w:r>
          </w:p>
          <w:p>
            <w:pPr>
              <w:pStyle w:val="0"/>
              <w:ind w:left="210" w:leftChars="100"/>
              <w:rPr>
                <w:rFonts w:hint="default" w:ascii="ＭＳ 明朝" w:hAnsi="ＭＳ 明朝" w:eastAsia="ＭＳ 明朝"/>
              </w:rPr>
            </w:pPr>
            <w:r>
              <w:rPr>
                <w:rFonts w:hint="eastAsia" w:ascii="ＭＳ 明朝" w:hAnsi="ＭＳ 明朝" w:eastAsia="ＭＳ 明朝"/>
              </w:rPr>
              <w:t>性状に応じた有効な腐食防止のための措置が講じられていること。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擁壁等の安定を保持するため必要と認められる場合においては、埋立地の内部の雨水等を排出することができる設備が設けられていること。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号ロ】</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め立てられた産業廃棄物への安定型産業廃棄物（令第六条第一項第三号イに規定する安定型産業廃棄物をいう。以下同じ。）以外の廃棄物の付着又は混入の有無を確認するための水質検査に用いる浸透水（安定型産業廃棄物の層を通過した雨水等をいう。以下同じ。）を埋立地から採取することができる設備（以下「採取設備」という。）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号ハ】</w:t>
            </w:r>
          </w:p>
        </w:tc>
        <w:tc>
          <w:tcPr>
            <w:tcW w:w="510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2</Pages>
  <Words>152</Words>
  <Characters>873</Characters>
  <Application>JUST Note</Application>
  <Lines>7</Lines>
  <Paragraphs>2</Paragraphs>
  <CharactersWithSpaces>1023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dcterms:created xsi:type="dcterms:W3CDTF">2025-10-10T04:45:00Z</dcterms:created>
  <dcterms:modified xsi:type="dcterms:W3CDTF">2025-10-15T02:51:41Z</dcterms:modified>
  <cp:revision>5</cp:revision>
</cp:coreProperties>
</file>