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D3" w:rsidRDefault="00F41248" w:rsidP="00386881">
      <w:pPr>
        <w:jc w:val="center"/>
      </w:pPr>
      <w:r>
        <w:rPr>
          <w:rFonts w:hint="eastAsia"/>
        </w:rPr>
        <w:t>保管基準</w:t>
      </w:r>
    </w:p>
    <w:p w:rsidR="005D6CC6" w:rsidRDefault="005D6CC6"/>
    <w:tbl>
      <w:tblPr>
        <w:tblStyle w:val="a3"/>
        <w:tblW w:w="9351" w:type="dxa"/>
        <w:tblLook w:val="04A0" w:firstRow="1" w:lastRow="0" w:firstColumn="1" w:lastColumn="0" w:noHBand="0" w:noVBand="1"/>
      </w:tblPr>
      <w:tblGrid>
        <w:gridCol w:w="280"/>
        <w:gridCol w:w="1700"/>
        <w:gridCol w:w="6091"/>
        <w:gridCol w:w="1280"/>
      </w:tblGrid>
      <w:tr w:rsidR="000747D4" w:rsidTr="000747D4">
        <w:tc>
          <w:tcPr>
            <w:tcW w:w="8071" w:type="dxa"/>
            <w:gridSpan w:val="3"/>
            <w:tcBorders>
              <w:bottom w:val="nil"/>
            </w:tcBorders>
          </w:tcPr>
          <w:p w:rsidR="000747D4" w:rsidRDefault="000747D4" w:rsidP="0090025B">
            <w:r>
              <w:rPr>
                <w:rFonts w:hint="eastAsia"/>
              </w:rPr>
              <w:t>基準</w:t>
            </w:r>
          </w:p>
        </w:tc>
        <w:tc>
          <w:tcPr>
            <w:tcW w:w="1280" w:type="dxa"/>
            <w:tcBorders>
              <w:bottom w:val="nil"/>
            </w:tcBorders>
          </w:tcPr>
          <w:p w:rsidR="000747D4" w:rsidRDefault="000747D4" w:rsidP="0090025B">
            <w:r>
              <w:rPr>
                <w:rFonts w:hint="eastAsia"/>
              </w:rPr>
              <w:t>根拠法令</w:t>
            </w:r>
          </w:p>
        </w:tc>
      </w:tr>
      <w:tr w:rsidR="000747D4" w:rsidTr="00E05711">
        <w:tc>
          <w:tcPr>
            <w:tcW w:w="9351" w:type="dxa"/>
            <w:gridSpan w:val="4"/>
            <w:tcBorders>
              <w:bottom w:val="nil"/>
            </w:tcBorders>
          </w:tcPr>
          <w:p w:rsidR="000747D4" w:rsidRPr="000F6349" w:rsidRDefault="000747D4" w:rsidP="000747D4">
            <w:pPr>
              <w:rPr>
                <w:rFonts w:asciiTheme="minorEastAsia" w:hAnsiTheme="minorEastAsia" w:cs="MS-Mincho"/>
                <w:kern w:val="0"/>
                <w:sz w:val="18"/>
                <w:szCs w:val="18"/>
              </w:rPr>
            </w:pPr>
            <w:r w:rsidRPr="000F6349">
              <w:rPr>
                <w:rFonts w:asciiTheme="minorEastAsia" w:hAnsiTheme="minorEastAsia" w:cs="MS-Mincho" w:hint="eastAsia"/>
                <w:kern w:val="0"/>
                <w:sz w:val="18"/>
                <w:szCs w:val="18"/>
              </w:rPr>
              <w:t>保管は、次に掲げる要件を満たす場所で行うこと。</w:t>
            </w:r>
          </w:p>
        </w:tc>
      </w:tr>
      <w:tr w:rsidR="005D6CC6" w:rsidRPr="00FE58CD" w:rsidTr="000747D4">
        <w:tc>
          <w:tcPr>
            <w:tcW w:w="280" w:type="dxa"/>
            <w:vMerge w:val="restart"/>
            <w:tcBorders>
              <w:top w:val="nil"/>
            </w:tcBorders>
          </w:tcPr>
          <w:p w:rsidR="005D6CC6" w:rsidRPr="00FE58CD" w:rsidRDefault="005D6CC6" w:rsidP="0090025B">
            <w:pPr>
              <w:rPr>
                <w:rFonts w:asciiTheme="minorEastAsia" w:hAnsiTheme="minorEastAsia"/>
                <w:sz w:val="18"/>
                <w:szCs w:val="18"/>
              </w:rPr>
            </w:pPr>
          </w:p>
        </w:tc>
        <w:tc>
          <w:tcPr>
            <w:tcW w:w="7791" w:type="dxa"/>
            <w:gridSpan w:val="2"/>
          </w:tcPr>
          <w:p w:rsidR="005D6CC6" w:rsidRPr="00FE58CD" w:rsidRDefault="005D6CC6" w:rsidP="0090025B">
            <w:pPr>
              <w:rPr>
                <w:rFonts w:asciiTheme="minorEastAsia" w:hAnsiTheme="minorEastAsia"/>
                <w:sz w:val="18"/>
                <w:szCs w:val="18"/>
              </w:rPr>
            </w:pPr>
            <w:r w:rsidRPr="00FE58CD">
              <w:rPr>
                <w:rFonts w:asciiTheme="minorEastAsia" w:hAnsiTheme="minorEastAsia" w:cs="MS-Mincho" w:hint="eastAsia"/>
                <w:kern w:val="0"/>
                <w:sz w:val="18"/>
                <w:szCs w:val="18"/>
              </w:rPr>
              <w:t>１</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保管の場所の周囲に囲いが設けられていること。</w:t>
            </w:r>
          </w:p>
        </w:tc>
        <w:tc>
          <w:tcPr>
            <w:tcW w:w="1280" w:type="dxa"/>
          </w:tcPr>
          <w:p w:rsidR="005D6CC6" w:rsidRPr="00FE58CD" w:rsidRDefault="000747D4" w:rsidP="0090025B">
            <w:pPr>
              <w:rPr>
                <w:rFonts w:asciiTheme="minorEastAsia" w:hAnsiTheme="minorEastAsia"/>
                <w:sz w:val="18"/>
                <w:szCs w:val="18"/>
              </w:rPr>
            </w:pPr>
            <w:r>
              <w:rPr>
                <w:rFonts w:asciiTheme="minorEastAsia" w:hAnsiTheme="minorEastAsia" w:hint="eastAsia"/>
                <w:sz w:val="18"/>
                <w:szCs w:val="18"/>
              </w:rPr>
              <w:t>令第16条の３第１号イ(1)</w:t>
            </w:r>
          </w:p>
        </w:tc>
      </w:tr>
      <w:tr w:rsidR="000747D4" w:rsidRPr="00FE58CD" w:rsidTr="002A7092">
        <w:tc>
          <w:tcPr>
            <w:tcW w:w="280" w:type="dxa"/>
            <w:vMerge/>
            <w:tcBorders>
              <w:top w:val="nil"/>
            </w:tcBorders>
          </w:tcPr>
          <w:p w:rsidR="005D6CC6" w:rsidRPr="00FE58CD" w:rsidRDefault="005D6CC6" w:rsidP="0090025B">
            <w:pPr>
              <w:rPr>
                <w:rFonts w:asciiTheme="minorEastAsia" w:hAnsiTheme="minorEastAsia"/>
                <w:sz w:val="18"/>
                <w:szCs w:val="18"/>
              </w:rPr>
            </w:pPr>
          </w:p>
        </w:tc>
        <w:tc>
          <w:tcPr>
            <w:tcW w:w="1700" w:type="dxa"/>
          </w:tcPr>
          <w:p w:rsidR="005D6CC6" w:rsidRPr="00FE58CD" w:rsidRDefault="005D6CC6" w:rsidP="00F41248">
            <w:pPr>
              <w:autoSpaceDE w:val="0"/>
              <w:autoSpaceDN w:val="0"/>
              <w:adjustRightInd w:val="0"/>
              <w:ind w:left="180" w:hangingChars="100" w:hanging="180"/>
              <w:jc w:val="left"/>
              <w:rPr>
                <w:rFonts w:asciiTheme="minorEastAsia" w:hAnsiTheme="minorEastAsia"/>
                <w:sz w:val="18"/>
                <w:szCs w:val="18"/>
              </w:rPr>
            </w:pPr>
            <w:r w:rsidRPr="00FE58CD">
              <w:rPr>
                <w:rFonts w:asciiTheme="minorEastAsia" w:hAnsiTheme="minorEastAsia" w:cs="MS-Mincho" w:hint="eastAsia"/>
                <w:kern w:val="0"/>
                <w:sz w:val="18"/>
                <w:szCs w:val="18"/>
              </w:rPr>
              <w:t>２</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外部から見やすい箇所に有害使用済機器の保管の場所である旨その他有害使用済機器の保管に関し必要な事項を表示した掲示板が設けられていること。</w:t>
            </w:r>
          </w:p>
        </w:tc>
        <w:tc>
          <w:tcPr>
            <w:tcW w:w="6091" w:type="dxa"/>
          </w:tcPr>
          <w:p w:rsidR="005D6CC6" w:rsidRPr="00FE58CD" w:rsidRDefault="005D6CC6" w:rsidP="0090025B">
            <w:pPr>
              <w:autoSpaceDE w:val="0"/>
              <w:autoSpaceDN w:val="0"/>
              <w:adjustRightInd w:val="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【掲示板の要件】</w:t>
            </w:r>
          </w:p>
          <w:p w:rsidR="005D6CC6" w:rsidRPr="00FE58CD" w:rsidRDefault="00F41248" w:rsidP="0090025B">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１　</w:t>
            </w:r>
            <w:r w:rsidR="005D6CC6" w:rsidRPr="00FE58CD">
              <w:rPr>
                <w:rFonts w:asciiTheme="minorEastAsia" w:hAnsiTheme="minorEastAsia" w:cs="MS-Mincho" w:hint="eastAsia"/>
                <w:kern w:val="0"/>
                <w:sz w:val="18"/>
                <w:szCs w:val="18"/>
              </w:rPr>
              <w:t>縦及び横それぞれ６０ｃｍ以上</w:t>
            </w:r>
          </w:p>
          <w:p w:rsidR="005D6CC6" w:rsidRPr="00FE58CD" w:rsidRDefault="005D6CC6" w:rsidP="0090025B">
            <w:pPr>
              <w:autoSpaceDE w:val="0"/>
              <w:autoSpaceDN w:val="0"/>
              <w:adjustRightInd w:val="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２</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次に掲げる事項を表示したもの</w:t>
            </w:r>
          </w:p>
          <w:p w:rsidR="005D6CC6" w:rsidRPr="00FE58CD" w:rsidRDefault="005D6CC6" w:rsidP="00F41248">
            <w:pPr>
              <w:autoSpaceDE w:val="0"/>
              <w:autoSpaceDN w:val="0"/>
              <w:adjustRightInd w:val="0"/>
              <w:ind w:leftChars="100" w:left="750" w:hangingChars="300" w:hanging="54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（１）</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有害使用済機器の処分又は再生を行う場合にあっては、有害使用済機器の保管の場所である旨に加えて、有害使用済機器の処分又は再生の場所である旨</w:t>
            </w:r>
          </w:p>
          <w:p w:rsidR="005D6CC6" w:rsidRPr="00FE58CD" w:rsidRDefault="00F41248" w:rsidP="00F41248">
            <w:pPr>
              <w:autoSpaceDE w:val="0"/>
              <w:autoSpaceDN w:val="0"/>
              <w:adjustRightInd w:val="0"/>
              <w:ind w:firstLineChars="100" w:firstLine="180"/>
              <w:jc w:val="left"/>
              <w:rPr>
                <w:rFonts w:asciiTheme="minorEastAsia" w:hAnsiTheme="minorEastAsia" w:cs="MS-Mincho"/>
                <w:kern w:val="0"/>
                <w:sz w:val="18"/>
                <w:szCs w:val="18"/>
              </w:rPr>
            </w:pPr>
            <w:r>
              <w:rPr>
                <w:rFonts w:asciiTheme="minorEastAsia" w:hAnsiTheme="minorEastAsia" w:cs="MS-Mincho" w:hint="eastAsia"/>
                <w:kern w:val="0"/>
                <w:sz w:val="18"/>
                <w:szCs w:val="18"/>
              </w:rPr>
              <w:t>（２）　保管</w:t>
            </w:r>
            <w:r w:rsidR="005D6CC6" w:rsidRPr="00FE58CD">
              <w:rPr>
                <w:rFonts w:asciiTheme="minorEastAsia" w:hAnsiTheme="minorEastAsia" w:cs="MS-Mincho" w:hint="eastAsia"/>
                <w:kern w:val="0"/>
                <w:sz w:val="18"/>
                <w:szCs w:val="18"/>
              </w:rPr>
              <w:t>する有害使用済機器の品目</w:t>
            </w:r>
          </w:p>
          <w:p w:rsidR="005D6CC6" w:rsidRPr="00FE58CD" w:rsidRDefault="005D6CC6" w:rsidP="00F41248">
            <w:pPr>
              <w:autoSpaceDE w:val="0"/>
              <w:autoSpaceDN w:val="0"/>
              <w:adjustRightInd w:val="0"/>
              <w:ind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（３）</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保管の場所の管理者の氏名又は名称及び連絡先</w:t>
            </w:r>
          </w:p>
          <w:p w:rsidR="005D6CC6" w:rsidRPr="00FE58CD" w:rsidRDefault="005D6CC6" w:rsidP="00F41248">
            <w:pPr>
              <w:autoSpaceDE w:val="0"/>
              <w:autoSpaceDN w:val="0"/>
              <w:adjustRightInd w:val="0"/>
              <w:ind w:leftChars="100" w:left="750" w:hangingChars="300" w:hanging="540"/>
              <w:jc w:val="left"/>
              <w:rPr>
                <w:rFonts w:asciiTheme="minorEastAsia" w:hAnsiTheme="minorEastAsia"/>
                <w:sz w:val="18"/>
                <w:szCs w:val="18"/>
              </w:rPr>
            </w:pPr>
            <w:r w:rsidRPr="00FE58CD">
              <w:rPr>
                <w:rFonts w:asciiTheme="minorEastAsia" w:hAnsiTheme="minorEastAsia" w:cs="MS-Mincho" w:hint="eastAsia"/>
                <w:kern w:val="0"/>
                <w:sz w:val="18"/>
                <w:szCs w:val="18"/>
              </w:rPr>
              <w:t>（４）</w:t>
            </w:r>
            <w:r w:rsidR="00F41248">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屋外において有害使用済機器を容器を用いずに保管する場合は、後述の有害使用済機器の高さのうち最高のもの</w:t>
            </w:r>
          </w:p>
        </w:tc>
        <w:tc>
          <w:tcPr>
            <w:tcW w:w="1280" w:type="dxa"/>
          </w:tcPr>
          <w:p w:rsidR="005D6CC6" w:rsidRDefault="000747D4" w:rsidP="0090025B">
            <w:pPr>
              <w:rPr>
                <w:rFonts w:asciiTheme="minorEastAsia" w:hAnsiTheme="minorEastAsia"/>
                <w:sz w:val="18"/>
                <w:szCs w:val="18"/>
              </w:rPr>
            </w:pPr>
            <w:r>
              <w:rPr>
                <w:rFonts w:asciiTheme="minorEastAsia" w:hAnsiTheme="minorEastAsia" w:hint="eastAsia"/>
                <w:sz w:val="18"/>
                <w:szCs w:val="18"/>
              </w:rPr>
              <w:t>令第16条の３第１号イ(2)</w:t>
            </w:r>
          </w:p>
          <w:p w:rsidR="000747D4" w:rsidRPr="00FE58CD" w:rsidRDefault="000747D4" w:rsidP="0090025B">
            <w:pPr>
              <w:rPr>
                <w:rFonts w:asciiTheme="minorEastAsia" w:hAnsiTheme="minorEastAsia"/>
                <w:sz w:val="18"/>
                <w:szCs w:val="18"/>
              </w:rPr>
            </w:pPr>
            <w:r>
              <w:rPr>
                <w:rFonts w:asciiTheme="minorEastAsia" w:hAnsiTheme="minorEastAsia" w:hint="eastAsia"/>
                <w:sz w:val="18"/>
                <w:szCs w:val="18"/>
              </w:rPr>
              <w:t>規則第13条の５</w:t>
            </w:r>
          </w:p>
        </w:tc>
      </w:tr>
      <w:tr w:rsidR="000747D4" w:rsidRPr="00FE58CD" w:rsidTr="00B33188">
        <w:tc>
          <w:tcPr>
            <w:tcW w:w="9351" w:type="dxa"/>
            <w:gridSpan w:val="4"/>
            <w:tcBorders>
              <w:bottom w:val="nil"/>
            </w:tcBorders>
          </w:tcPr>
          <w:p w:rsidR="000747D4" w:rsidRPr="00FE58CD" w:rsidRDefault="000747D4" w:rsidP="002A7092">
            <w:pPr>
              <w:ind w:firstLineChars="100" w:firstLine="180"/>
              <w:rPr>
                <w:rFonts w:asciiTheme="minorEastAsia" w:hAnsiTheme="minorEastAsia"/>
                <w:sz w:val="18"/>
                <w:szCs w:val="18"/>
              </w:rPr>
            </w:pPr>
            <w:r w:rsidRPr="00FE58CD">
              <w:rPr>
                <w:rFonts w:asciiTheme="minorEastAsia" w:hAnsiTheme="minorEastAsia" w:cs="MS-Mincho" w:hint="eastAsia"/>
                <w:kern w:val="0"/>
                <w:sz w:val="18"/>
                <w:szCs w:val="18"/>
              </w:rPr>
              <w:t>保管の場所から有害使用済機器又は当該保管に伴って生じた汚水が飛散し、流出し、及び地下に浸透し、並びに悪臭が発散しないように次に掲げる措置を講ずること。</w:t>
            </w:r>
          </w:p>
        </w:tc>
      </w:tr>
      <w:tr w:rsidR="000747D4" w:rsidRPr="00FE58CD" w:rsidTr="000747D4">
        <w:tc>
          <w:tcPr>
            <w:tcW w:w="280" w:type="dxa"/>
            <w:vMerge w:val="restart"/>
            <w:tcBorders>
              <w:top w:val="nil"/>
            </w:tcBorders>
          </w:tcPr>
          <w:p w:rsidR="000747D4" w:rsidRPr="00FE58CD" w:rsidRDefault="000747D4" w:rsidP="000747D4">
            <w:pPr>
              <w:rPr>
                <w:rFonts w:asciiTheme="minorEastAsia" w:hAnsiTheme="minorEastAsia"/>
                <w:sz w:val="18"/>
                <w:szCs w:val="18"/>
              </w:rPr>
            </w:pPr>
          </w:p>
        </w:tc>
        <w:tc>
          <w:tcPr>
            <w:tcW w:w="7791" w:type="dxa"/>
            <w:gridSpan w:val="2"/>
          </w:tcPr>
          <w:p w:rsidR="000747D4" w:rsidRPr="00FE58CD" w:rsidRDefault="000747D4" w:rsidP="000747D4">
            <w:pPr>
              <w:autoSpaceDE w:val="0"/>
              <w:autoSpaceDN w:val="0"/>
              <w:adjustRightInd w:val="0"/>
              <w:ind w:left="180" w:hangingChars="100" w:hanging="180"/>
              <w:jc w:val="left"/>
              <w:rPr>
                <w:rFonts w:asciiTheme="minorEastAsia" w:hAnsiTheme="minorEastAsia"/>
                <w:sz w:val="18"/>
                <w:szCs w:val="18"/>
              </w:rPr>
            </w:pPr>
            <w:r w:rsidRPr="00FE58CD">
              <w:rPr>
                <w:rFonts w:asciiTheme="minorEastAsia" w:hAnsiTheme="minorEastAsia" w:cs="MS-Mincho" w:hint="eastAsia"/>
                <w:kern w:val="0"/>
                <w:sz w:val="18"/>
                <w:szCs w:val="18"/>
              </w:rPr>
              <w:t>１</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保管する有害使用済機器の荷重が直接囲いにかかり、又はかかるおそれがある構造である場合にあっては、当該荷重に対して当該囲いが構造耐力上安全であること。</w:t>
            </w:r>
          </w:p>
        </w:tc>
        <w:tc>
          <w:tcPr>
            <w:tcW w:w="1280" w:type="dxa"/>
          </w:tcPr>
          <w:p w:rsidR="000747D4" w:rsidRPr="00FE58CD" w:rsidRDefault="000747D4" w:rsidP="000747D4">
            <w:pPr>
              <w:rPr>
                <w:rFonts w:asciiTheme="minorEastAsia" w:hAnsiTheme="minorEastAsia"/>
                <w:sz w:val="18"/>
                <w:szCs w:val="18"/>
              </w:rPr>
            </w:pPr>
            <w:r>
              <w:rPr>
                <w:rFonts w:asciiTheme="minorEastAsia" w:hAnsiTheme="minorEastAsia" w:hint="eastAsia"/>
                <w:sz w:val="18"/>
                <w:szCs w:val="18"/>
              </w:rPr>
              <w:t>令第16条の３第１号ロ(1)</w:t>
            </w:r>
          </w:p>
        </w:tc>
      </w:tr>
      <w:tr w:rsidR="000747D4" w:rsidRPr="00FE58CD" w:rsidTr="002A7092">
        <w:tc>
          <w:tcPr>
            <w:tcW w:w="280" w:type="dxa"/>
            <w:vMerge/>
          </w:tcPr>
          <w:p w:rsidR="000747D4" w:rsidRPr="00FE58CD" w:rsidRDefault="000747D4" w:rsidP="000747D4">
            <w:pPr>
              <w:rPr>
                <w:rFonts w:asciiTheme="minorEastAsia" w:hAnsiTheme="minorEastAsia"/>
                <w:sz w:val="18"/>
                <w:szCs w:val="18"/>
              </w:rPr>
            </w:pPr>
          </w:p>
        </w:tc>
        <w:tc>
          <w:tcPr>
            <w:tcW w:w="1700" w:type="dxa"/>
          </w:tcPr>
          <w:p w:rsidR="000747D4" w:rsidRPr="00FE58CD" w:rsidRDefault="000747D4" w:rsidP="000747D4">
            <w:pPr>
              <w:autoSpaceDE w:val="0"/>
              <w:autoSpaceDN w:val="0"/>
              <w:adjustRightInd w:val="0"/>
              <w:ind w:left="180" w:hangingChars="100" w:hanging="180"/>
              <w:jc w:val="left"/>
              <w:rPr>
                <w:rFonts w:asciiTheme="minorEastAsia" w:hAnsiTheme="minorEastAsia"/>
                <w:sz w:val="18"/>
                <w:szCs w:val="18"/>
              </w:rPr>
            </w:pPr>
            <w:r w:rsidRPr="00FE58CD">
              <w:rPr>
                <w:rFonts w:asciiTheme="minorEastAsia" w:hAnsiTheme="minorEastAsia" w:cs="MS-Mincho" w:hint="eastAsia"/>
                <w:kern w:val="0"/>
                <w:sz w:val="18"/>
                <w:szCs w:val="18"/>
              </w:rPr>
              <w:t>２</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屋外において有害使用済機器を容器を用いずに保管する場合にあっては、積み上げられた有害使用済機器の高さが環境省令で定める高さを超えないようにすること。</w:t>
            </w:r>
          </w:p>
        </w:tc>
        <w:tc>
          <w:tcPr>
            <w:tcW w:w="6091" w:type="dxa"/>
          </w:tcPr>
          <w:p w:rsidR="001E095D" w:rsidRDefault="000747D4" w:rsidP="000747D4">
            <w:pPr>
              <w:autoSpaceDE w:val="0"/>
              <w:autoSpaceDN w:val="0"/>
              <w:adjustRightInd w:val="0"/>
              <w:ind w:left="180" w:hangingChars="100" w:hanging="18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１　</w:t>
            </w:r>
            <w:r w:rsidRPr="00FE58CD">
              <w:rPr>
                <w:rFonts w:asciiTheme="minorEastAsia" w:hAnsiTheme="minorEastAsia" w:cs="MS-Mincho" w:hint="eastAsia"/>
                <w:kern w:val="0"/>
                <w:sz w:val="18"/>
                <w:szCs w:val="18"/>
              </w:rPr>
              <w:t>保管の場所の囲いに保管する有害使用済機器の荷重が直接かかる構造である部分（以下「直接負荷部分」という。）がない場合（３の場合を除く。）</w:t>
            </w:r>
          </w:p>
          <w:p w:rsidR="000747D4" w:rsidRPr="00FE58CD" w:rsidRDefault="000747D4" w:rsidP="001E095D">
            <w:pPr>
              <w:autoSpaceDE w:val="0"/>
              <w:autoSpaceDN w:val="0"/>
              <w:adjustRightInd w:val="0"/>
              <w:ind w:leftChars="100" w:left="210"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当該保管の場所の任意の点ごとに、地盤面から、当該点を通る鉛直線と当該保管の場所の囲いの下端（当該下端が地盤面に接していない場合にあっては、当該下端を鉛直方向に延長した面と地盤面との交線）を通り水平面に対し上方に５０％の勾配を有する面との交点（当該交点が２以上ある場合にあっては、最も地盤面に近いもの）までの高さ</w:t>
            </w:r>
          </w:p>
          <w:p w:rsidR="000747D4" w:rsidRPr="00FE58CD" w:rsidRDefault="002A7092" w:rsidP="001E095D">
            <w:pPr>
              <w:autoSpaceDE w:val="0"/>
              <w:autoSpaceDN w:val="0"/>
              <w:adjustRightInd w:val="0"/>
              <w:ind w:firstLineChars="100" w:firstLine="180"/>
              <w:jc w:val="left"/>
              <w:rPr>
                <w:rFonts w:asciiTheme="minorEastAsia" w:hAnsiTheme="minorEastAsia" w:cs="MS-Mincho"/>
                <w:kern w:val="0"/>
                <w:sz w:val="18"/>
                <w:szCs w:val="18"/>
              </w:rPr>
            </w:pPr>
            <w:r>
              <w:rPr>
                <w:rFonts w:asciiTheme="minorEastAsia" w:hAnsiTheme="minorEastAsia" w:cs="MS-Mincho" w:hint="eastAsia"/>
                <w:kern w:val="0"/>
                <w:sz w:val="18"/>
                <w:szCs w:val="18"/>
              </w:rPr>
              <w:t>⇒</w:t>
            </w:r>
            <w:r w:rsidR="000747D4" w:rsidRPr="00FE58CD">
              <w:rPr>
                <w:rFonts w:asciiTheme="minorEastAsia" w:hAnsiTheme="minorEastAsia" w:cs="MS-Mincho" w:hint="eastAsia"/>
                <w:kern w:val="0"/>
                <w:sz w:val="18"/>
                <w:szCs w:val="18"/>
              </w:rPr>
              <w:t>図１参照</w:t>
            </w:r>
          </w:p>
          <w:p w:rsidR="001E095D" w:rsidRDefault="000747D4" w:rsidP="000747D4">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２</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保管の場所の囲いに直接負荷部分がある場合（３の場合を除く。）</w:t>
            </w:r>
          </w:p>
          <w:p w:rsidR="000747D4" w:rsidRPr="00FE58CD" w:rsidRDefault="000747D4" w:rsidP="001E095D">
            <w:pPr>
              <w:autoSpaceDE w:val="0"/>
              <w:autoSpaceDN w:val="0"/>
              <w:adjustRightInd w:val="0"/>
              <w:ind w:leftChars="100" w:left="210"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直接負荷部分の上端から下方に垂直距離５０ｃｍの線（直接負荷部分に係る囲いの高さが５０ｃｍに満たない場合にあっては、その下端）（以下「基準線」という。）から当該保管の場所の側の任意の点ごとに、次の</w:t>
            </w:r>
            <w:r w:rsidR="001E095D">
              <w:rPr>
                <w:rFonts w:asciiTheme="minorEastAsia" w:hAnsiTheme="minorEastAsia" w:cs="MS-Mincho" w:hint="eastAsia"/>
                <w:kern w:val="0"/>
                <w:sz w:val="18"/>
                <w:szCs w:val="18"/>
              </w:rPr>
              <w:t>（１）</w:t>
            </w:r>
            <w:r w:rsidRPr="00FE58CD">
              <w:rPr>
                <w:rFonts w:asciiTheme="minorEastAsia" w:hAnsiTheme="minorEastAsia" w:cs="MS-Mincho" w:hint="eastAsia"/>
                <w:kern w:val="0"/>
                <w:sz w:val="18"/>
                <w:szCs w:val="18"/>
              </w:rPr>
              <w:t>に規定する高さ（当該保管の場所の囲いに直接負荷部分でない部分がある場合にあっては、</w:t>
            </w:r>
            <w:r w:rsidR="001E095D">
              <w:rPr>
                <w:rFonts w:asciiTheme="minorEastAsia" w:hAnsiTheme="minorEastAsia" w:cs="MS-Mincho" w:hint="eastAsia"/>
                <w:kern w:val="0"/>
                <w:sz w:val="18"/>
                <w:szCs w:val="18"/>
              </w:rPr>
              <w:t>（１）</w:t>
            </w:r>
            <w:r w:rsidRPr="00FE58CD">
              <w:rPr>
                <w:rFonts w:asciiTheme="minorEastAsia" w:hAnsiTheme="minorEastAsia" w:cs="MS-Mincho" w:hint="eastAsia"/>
                <w:kern w:val="0"/>
                <w:sz w:val="18"/>
                <w:szCs w:val="18"/>
              </w:rPr>
              <w:t>又は</w:t>
            </w:r>
            <w:r w:rsidR="001E095D">
              <w:rPr>
                <w:rFonts w:asciiTheme="minorEastAsia" w:hAnsiTheme="minorEastAsia" w:cs="MS-Mincho" w:hint="eastAsia"/>
                <w:kern w:val="0"/>
                <w:sz w:val="18"/>
                <w:szCs w:val="18"/>
              </w:rPr>
              <w:t>（２）</w:t>
            </w:r>
            <w:r w:rsidRPr="00FE58CD">
              <w:rPr>
                <w:rFonts w:asciiTheme="minorEastAsia" w:hAnsiTheme="minorEastAsia" w:cs="MS-Mincho" w:hint="eastAsia"/>
                <w:kern w:val="0"/>
                <w:sz w:val="18"/>
                <w:szCs w:val="18"/>
              </w:rPr>
              <w:t>に規定する高さのうちいずれか低いもの）又は５ｍのうちいずれか低いもの</w:t>
            </w:r>
          </w:p>
          <w:p w:rsidR="000747D4" w:rsidRPr="00FE58CD" w:rsidRDefault="000747D4" w:rsidP="000747D4">
            <w:pPr>
              <w:autoSpaceDE w:val="0"/>
              <w:autoSpaceDN w:val="0"/>
              <w:adjustRightInd w:val="0"/>
              <w:ind w:leftChars="100" w:left="750" w:hangingChars="300" w:hanging="54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lastRenderedPageBreak/>
              <w:t>（１）</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地盤面から、当該点を通る鉛直線と当該鉛直線へ</w:t>
            </w:r>
            <w:r w:rsidR="001E095D">
              <w:rPr>
                <w:rFonts w:asciiTheme="minorEastAsia" w:hAnsiTheme="minorEastAsia" w:cs="MS-Mincho" w:hint="eastAsia"/>
                <w:kern w:val="0"/>
                <w:sz w:val="18"/>
                <w:szCs w:val="18"/>
              </w:rPr>
              <w:t>の</w:t>
            </w:r>
            <w:r w:rsidRPr="00FE58CD">
              <w:rPr>
                <w:rFonts w:asciiTheme="minorEastAsia" w:hAnsiTheme="minorEastAsia" w:cs="MS-Mincho" w:hint="eastAsia"/>
                <w:kern w:val="0"/>
                <w:sz w:val="18"/>
                <w:szCs w:val="18"/>
              </w:rPr>
              <w:t>水平距離が最も小さい基準線を通る水平面との交点までの高さ</w:t>
            </w:r>
          </w:p>
          <w:p w:rsidR="000747D4" w:rsidRPr="00FE58CD" w:rsidRDefault="000747D4" w:rsidP="000747D4">
            <w:pPr>
              <w:autoSpaceDE w:val="0"/>
              <w:autoSpaceDN w:val="0"/>
              <w:adjustRightInd w:val="0"/>
              <w:ind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（２）</w:t>
            </w:r>
            <w:r>
              <w:rPr>
                <w:rFonts w:asciiTheme="minorEastAsia" w:hAnsiTheme="minorEastAsia" w:cs="MS-Mincho" w:hint="eastAsia"/>
                <w:kern w:val="0"/>
                <w:sz w:val="18"/>
                <w:szCs w:val="18"/>
              </w:rPr>
              <w:t xml:space="preserve">　</w:t>
            </w:r>
            <w:r w:rsidR="001E095D">
              <w:rPr>
                <w:rFonts w:asciiTheme="minorEastAsia" w:hAnsiTheme="minorEastAsia" w:cs="MS-Mincho" w:hint="eastAsia"/>
                <w:kern w:val="0"/>
                <w:sz w:val="18"/>
                <w:szCs w:val="18"/>
              </w:rPr>
              <w:t>１</w:t>
            </w:r>
            <w:r w:rsidRPr="00FE58CD">
              <w:rPr>
                <w:rFonts w:asciiTheme="minorEastAsia" w:hAnsiTheme="minorEastAsia" w:cs="MS-Mincho" w:hint="eastAsia"/>
                <w:kern w:val="0"/>
                <w:sz w:val="18"/>
                <w:szCs w:val="18"/>
              </w:rPr>
              <w:t>に規定する高さ</w:t>
            </w:r>
          </w:p>
          <w:p w:rsidR="000747D4" w:rsidRPr="00FE58CD" w:rsidRDefault="002A7092" w:rsidP="004D5A3C">
            <w:pPr>
              <w:autoSpaceDE w:val="0"/>
              <w:autoSpaceDN w:val="0"/>
              <w:adjustRightInd w:val="0"/>
              <w:ind w:firstLineChars="100" w:firstLine="180"/>
              <w:jc w:val="left"/>
              <w:rPr>
                <w:rFonts w:asciiTheme="minorEastAsia" w:hAnsiTheme="minorEastAsia" w:cs="MS-Mincho"/>
                <w:kern w:val="0"/>
                <w:sz w:val="18"/>
                <w:szCs w:val="18"/>
              </w:rPr>
            </w:pPr>
            <w:r>
              <w:rPr>
                <w:rFonts w:asciiTheme="minorEastAsia" w:hAnsiTheme="minorEastAsia" w:cs="MS-Mincho" w:hint="eastAsia"/>
                <w:kern w:val="0"/>
                <w:sz w:val="18"/>
                <w:szCs w:val="18"/>
              </w:rPr>
              <w:t>⇒</w:t>
            </w:r>
            <w:r w:rsidR="000747D4" w:rsidRPr="00FE58CD">
              <w:rPr>
                <w:rFonts w:asciiTheme="minorEastAsia" w:hAnsiTheme="minorEastAsia" w:cs="MS-Mincho" w:hint="eastAsia"/>
                <w:kern w:val="0"/>
                <w:sz w:val="18"/>
                <w:szCs w:val="18"/>
              </w:rPr>
              <w:t>図２参照</w:t>
            </w:r>
          </w:p>
          <w:p w:rsidR="002A7092" w:rsidRDefault="000747D4" w:rsidP="000747D4">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３</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保管の場所の三方の囲いに直接負荷部分がある場合</w:t>
            </w:r>
          </w:p>
          <w:p w:rsidR="000747D4" w:rsidRPr="00FE58CD" w:rsidRDefault="000747D4" w:rsidP="002A7092">
            <w:pPr>
              <w:autoSpaceDE w:val="0"/>
              <w:autoSpaceDN w:val="0"/>
              <w:adjustRightInd w:val="0"/>
              <w:ind w:leftChars="100" w:left="210"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次の（１）から（３）までに規定する高さのうちいずれか低いもの又は２に規定する高さ</w:t>
            </w:r>
          </w:p>
          <w:p w:rsidR="000747D4" w:rsidRPr="00FE58CD" w:rsidRDefault="000747D4" w:rsidP="004D5A3C">
            <w:pPr>
              <w:autoSpaceDE w:val="0"/>
              <w:autoSpaceDN w:val="0"/>
              <w:adjustRightInd w:val="0"/>
              <w:ind w:leftChars="100" w:left="750" w:hangingChars="300" w:hanging="54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（１）</w:t>
            </w:r>
            <w:r w:rsidR="004D5A3C">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当該保管の場所の当該三方以外の方向から、事業の用に供する施設（当該保管の場所を除く。）又は事業場の敷地の境界線への水平距離のうち最小のものの２分の１に相当する高さ</w:t>
            </w:r>
          </w:p>
          <w:p w:rsidR="000747D4" w:rsidRPr="00FE58CD" w:rsidRDefault="000747D4" w:rsidP="000747D4">
            <w:pPr>
              <w:autoSpaceDE w:val="0"/>
              <w:autoSpaceDN w:val="0"/>
              <w:adjustRightInd w:val="0"/>
              <w:ind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（２）</w:t>
            </w:r>
            <w:r w:rsidR="004D5A3C">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当該直接負荷部分の基準線の高さ</w:t>
            </w:r>
          </w:p>
          <w:p w:rsidR="000747D4" w:rsidRPr="00FE58CD" w:rsidRDefault="000747D4" w:rsidP="000747D4">
            <w:pPr>
              <w:autoSpaceDE w:val="0"/>
              <w:autoSpaceDN w:val="0"/>
              <w:adjustRightInd w:val="0"/>
              <w:ind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（３）</w:t>
            </w:r>
            <w:r w:rsidR="004D5A3C">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５ｍ</w:t>
            </w:r>
          </w:p>
          <w:p w:rsidR="000747D4" w:rsidRPr="00FE58CD" w:rsidRDefault="002A7092" w:rsidP="002A7092">
            <w:pPr>
              <w:ind w:firstLineChars="100" w:firstLine="180"/>
              <w:rPr>
                <w:rFonts w:asciiTheme="minorEastAsia" w:hAnsiTheme="minorEastAsia"/>
                <w:sz w:val="18"/>
                <w:szCs w:val="18"/>
              </w:rPr>
            </w:pPr>
            <w:r>
              <w:rPr>
                <w:rFonts w:asciiTheme="minorEastAsia" w:hAnsiTheme="minorEastAsia" w:cs="MS-Mincho" w:hint="eastAsia"/>
                <w:kern w:val="0"/>
                <w:sz w:val="18"/>
                <w:szCs w:val="18"/>
              </w:rPr>
              <w:t>⇒</w:t>
            </w:r>
            <w:r w:rsidR="000747D4" w:rsidRPr="00FE58CD">
              <w:rPr>
                <w:rFonts w:asciiTheme="minorEastAsia" w:hAnsiTheme="minorEastAsia" w:cs="MS-Mincho" w:hint="eastAsia"/>
                <w:kern w:val="0"/>
                <w:sz w:val="18"/>
                <w:szCs w:val="18"/>
              </w:rPr>
              <w:t>図３参照</w:t>
            </w:r>
          </w:p>
        </w:tc>
        <w:tc>
          <w:tcPr>
            <w:tcW w:w="1280" w:type="dxa"/>
          </w:tcPr>
          <w:p w:rsidR="000747D4" w:rsidRDefault="000747D4" w:rsidP="000747D4">
            <w:pPr>
              <w:rPr>
                <w:rFonts w:asciiTheme="minorEastAsia" w:hAnsiTheme="minorEastAsia"/>
                <w:sz w:val="18"/>
                <w:szCs w:val="18"/>
              </w:rPr>
            </w:pPr>
            <w:r>
              <w:rPr>
                <w:rFonts w:asciiTheme="minorEastAsia" w:hAnsiTheme="minorEastAsia" w:hint="eastAsia"/>
                <w:sz w:val="18"/>
                <w:szCs w:val="18"/>
              </w:rPr>
              <w:lastRenderedPageBreak/>
              <w:t>令第16条の３第１号ロ(2)</w:t>
            </w:r>
          </w:p>
          <w:p w:rsidR="001E095D" w:rsidRDefault="001E095D" w:rsidP="000747D4">
            <w:pPr>
              <w:rPr>
                <w:rFonts w:asciiTheme="minorEastAsia" w:hAnsiTheme="minorEastAsia"/>
                <w:sz w:val="18"/>
                <w:szCs w:val="18"/>
              </w:rPr>
            </w:pPr>
          </w:p>
          <w:p w:rsidR="001E095D" w:rsidRPr="00FE58CD" w:rsidRDefault="001E095D" w:rsidP="000747D4">
            <w:pPr>
              <w:rPr>
                <w:rFonts w:asciiTheme="minorEastAsia" w:hAnsiTheme="minorEastAsia"/>
                <w:sz w:val="18"/>
                <w:szCs w:val="18"/>
              </w:rPr>
            </w:pPr>
            <w:r>
              <w:rPr>
                <w:rFonts w:asciiTheme="minorEastAsia" w:hAnsiTheme="minorEastAsia" w:hint="eastAsia"/>
                <w:sz w:val="18"/>
                <w:szCs w:val="18"/>
              </w:rPr>
              <w:t>規則第13条の６各号</w:t>
            </w:r>
          </w:p>
        </w:tc>
      </w:tr>
      <w:tr w:rsidR="002A7092" w:rsidRPr="00FE58CD" w:rsidTr="002A7092">
        <w:tc>
          <w:tcPr>
            <w:tcW w:w="280" w:type="dxa"/>
            <w:vMerge w:val="restart"/>
            <w:tcBorders>
              <w:top w:val="single" w:sz="4" w:space="0" w:color="FFFFFF" w:themeColor="background1"/>
              <w:tr2bl w:val="single" w:sz="4" w:space="0" w:color="FFFFFF" w:themeColor="background1"/>
            </w:tcBorders>
          </w:tcPr>
          <w:p w:rsidR="002A7092" w:rsidRPr="00FE58CD" w:rsidRDefault="002A7092" w:rsidP="000747D4">
            <w:pPr>
              <w:rPr>
                <w:rFonts w:asciiTheme="minorEastAsia" w:hAnsiTheme="minorEastAsia"/>
                <w:sz w:val="18"/>
                <w:szCs w:val="18"/>
              </w:rPr>
            </w:pPr>
          </w:p>
        </w:tc>
        <w:tc>
          <w:tcPr>
            <w:tcW w:w="7791" w:type="dxa"/>
            <w:gridSpan w:val="2"/>
            <w:tcBorders>
              <w:top w:val="single" w:sz="4" w:space="0" w:color="FFFFFF" w:themeColor="background1"/>
            </w:tcBorders>
          </w:tcPr>
          <w:p w:rsidR="002A7092" w:rsidRPr="00FE58CD" w:rsidRDefault="002A7092" w:rsidP="000747D4">
            <w:pPr>
              <w:autoSpaceDE w:val="0"/>
              <w:autoSpaceDN w:val="0"/>
              <w:adjustRightInd w:val="0"/>
              <w:ind w:left="180" w:hangingChars="100" w:hanging="180"/>
              <w:jc w:val="left"/>
              <w:rPr>
                <w:rFonts w:asciiTheme="minorEastAsia" w:hAnsiTheme="minorEastAsia"/>
                <w:sz w:val="18"/>
                <w:szCs w:val="18"/>
              </w:rPr>
            </w:pPr>
            <w:r w:rsidRPr="00FE58CD">
              <w:rPr>
                <w:rFonts w:asciiTheme="minorEastAsia" w:hAnsiTheme="minorEastAsia" w:cs="MS-Mincho" w:hint="eastAsia"/>
                <w:kern w:val="0"/>
                <w:sz w:val="18"/>
                <w:szCs w:val="18"/>
              </w:rPr>
              <w:t>３</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有害使用済機器の保管に伴い汚水が生ずるおそれがある場合にあっては、当該汚水による公共の水域及び地下水の汚染を防止するため、保管の場所の底面を不浸透性の材料で覆うとともに、油分離装置及びこれに接続している排水溝その他の設備を設けること。</w:t>
            </w:r>
          </w:p>
        </w:tc>
        <w:tc>
          <w:tcPr>
            <w:tcW w:w="1280" w:type="dxa"/>
            <w:tcBorders>
              <w:top w:val="single" w:sz="4" w:space="0" w:color="FFFFFF" w:themeColor="background1"/>
            </w:tcBorders>
          </w:tcPr>
          <w:p w:rsidR="002A7092" w:rsidRPr="00FE58CD" w:rsidRDefault="002A7092" w:rsidP="004D5A3C">
            <w:pPr>
              <w:rPr>
                <w:rFonts w:asciiTheme="minorEastAsia" w:hAnsiTheme="minorEastAsia"/>
                <w:sz w:val="18"/>
                <w:szCs w:val="18"/>
              </w:rPr>
            </w:pPr>
            <w:r>
              <w:rPr>
                <w:rFonts w:asciiTheme="minorEastAsia" w:hAnsiTheme="minorEastAsia" w:hint="eastAsia"/>
                <w:sz w:val="18"/>
                <w:szCs w:val="18"/>
              </w:rPr>
              <w:t>令第16条の３第１号ロ(3)</w:t>
            </w:r>
          </w:p>
        </w:tc>
      </w:tr>
      <w:tr w:rsidR="002A7092" w:rsidRPr="00FE58CD" w:rsidTr="002A7092">
        <w:tc>
          <w:tcPr>
            <w:tcW w:w="280" w:type="dxa"/>
            <w:vMerge/>
          </w:tcPr>
          <w:p w:rsidR="002A7092" w:rsidRPr="00FE58CD" w:rsidRDefault="002A7092" w:rsidP="000747D4">
            <w:pPr>
              <w:rPr>
                <w:rFonts w:asciiTheme="minorEastAsia" w:hAnsiTheme="minorEastAsia"/>
                <w:sz w:val="18"/>
                <w:szCs w:val="18"/>
              </w:rPr>
            </w:pPr>
          </w:p>
        </w:tc>
        <w:tc>
          <w:tcPr>
            <w:tcW w:w="1700" w:type="dxa"/>
            <w:tcBorders>
              <w:top w:val="single" w:sz="4" w:space="0" w:color="FFFFFF" w:themeColor="background1"/>
            </w:tcBorders>
          </w:tcPr>
          <w:p w:rsidR="002A7092" w:rsidRPr="00FE58CD" w:rsidRDefault="002A7092" w:rsidP="000747D4">
            <w:pPr>
              <w:autoSpaceDE w:val="0"/>
              <w:autoSpaceDN w:val="0"/>
              <w:adjustRightInd w:val="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４</w:t>
            </w:r>
            <w:r>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右記に記載する措置</w:t>
            </w:r>
          </w:p>
        </w:tc>
        <w:tc>
          <w:tcPr>
            <w:tcW w:w="6091" w:type="dxa"/>
          </w:tcPr>
          <w:p w:rsidR="002A7092" w:rsidRPr="00FE58CD" w:rsidRDefault="002A7092" w:rsidP="000747D4">
            <w:pPr>
              <w:autoSpaceDE w:val="0"/>
              <w:autoSpaceDN w:val="0"/>
              <w:adjustRightInd w:val="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【その他の措置】</w:t>
            </w:r>
          </w:p>
          <w:p w:rsidR="002A7092" w:rsidRPr="00FE58CD" w:rsidRDefault="002A7092" w:rsidP="004D5A3C">
            <w:pPr>
              <w:autoSpaceDE w:val="0"/>
              <w:autoSpaceDN w:val="0"/>
              <w:adjustRightInd w:val="0"/>
              <w:ind w:firstLineChars="100" w:firstLine="180"/>
              <w:jc w:val="left"/>
              <w:rPr>
                <w:rFonts w:asciiTheme="minorEastAsia" w:hAnsiTheme="minorEastAsia"/>
                <w:sz w:val="18"/>
                <w:szCs w:val="18"/>
              </w:rPr>
            </w:pPr>
            <w:r w:rsidRPr="00FE58CD">
              <w:rPr>
                <w:rFonts w:asciiTheme="minorEastAsia" w:hAnsiTheme="minorEastAsia" w:cs="MS-Mincho" w:hint="eastAsia"/>
                <w:kern w:val="0"/>
                <w:sz w:val="18"/>
                <w:szCs w:val="18"/>
              </w:rPr>
              <w:t>その保管を業として行おうとする有害使用済機器の品目に応じ、保管の場所から有害使用済機器又は当該保管に伴って生じた汚水が飛散し、流出し、及び地下に浸透し、並びに悪臭が発散しないように必要な措置を講ずることとする。</w:t>
            </w:r>
          </w:p>
        </w:tc>
        <w:tc>
          <w:tcPr>
            <w:tcW w:w="1280" w:type="dxa"/>
          </w:tcPr>
          <w:p w:rsidR="002A7092" w:rsidRDefault="002A7092" w:rsidP="004D5A3C">
            <w:pPr>
              <w:rPr>
                <w:rFonts w:asciiTheme="minorEastAsia" w:hAnsiTheme="minorEastAsia"/>
                <w:sz w:val="18"/>
                <w:szCs w:val="18"/>
              </w:rPr>
            </w:pPr>
            <w:r>
              <w:rPr>
                <w:rFonts w:asciiTheme="minorEastAsia" w:hAnsiTheme="minorEastAsia" w:hint="eastAsia"/>
                <w:sz w:val="18"/>
                <w:szCs w:val="18"/>
              </w:rPr>
              <w:t>令第16条の３第１号ロ(4)</w:t>
            </w:r>
          </w:p>
          <w:p w:rsidR="002A7092" w:rsidRPr="00FE58CD" w:rsidRDefault="002A7092" w:rsidP="004D5A3C">
            <w:pPr>
              <w:rPr>
                <w:rFonts w:asciiTheme="minorEastAsia" w:hAnsiTheme="minorEastAsia"/>
                <w:sz w:val="18"/>
                <w:szCs w:val="18"/>
              </w:rPr>
            </w:pPr>
            <w:r>
              <w:rPr>
                <w:rFonts w:asciiTheme="minorEastAsia" w:hAnsiTheme="minorEastAsia" w:hint="eastAsia"/>
                <w:sz w:val="18"/>
                <w:szCs w:val="18"/>
              </w:rPr>
              <w:t>規則第13条の７</w:t>
            </w:r>
          </w:p>
        </w:tc>
      </w:tr>
      <w:tr w:rsidR="000747D4" w:rsidRPr="00FE58CD" w:rsidTr="000747D4">
        <w:tc>
          <w:tcPr>
            <w:tcW w:w="8071" w:type="dxa"/>
            <w:gridSpan w:val="3"/>
          </w:tcPr>
          <w:p w:rsidR="000747D4" w:rsidRPr="00FE58CD" w:rsidRDefault="000747D4" w:rsidP="000747D4">
            <w:pPr>
              <w:autoSpaceDE w:val="0"/>
              <w:autoSpaceDN w:val="0"/>
              <w:adjustRightInd w:val="0"/>
              <w:ind w:firstLineChars="100" w:firstLine="180"/>
              <w:jc w:val="left"/>
              <w:rPr>
                <w:rFonts w:asciiTheme="minorEastAsia" w:hAnsiTheme="minorEastAsia"/>
                <w:sz w:val="18"/>
                <w:szCs w:val="18"/>
              </w:rPr>
            </w:pPr>
            <w:r w:rsidRPr="00FE58CD">
              <w:rPr>
                <w:rFonts w:asciiTheme="minorEastAsia" w:hAnsiTheme="minorEastAsia" w:cs="MS-Mincho" w:hint="eastAsia"/>
                <w:kern w:val="0"/>
                <w:sz w:val="18"/>
                <w:szCs w:val="18"/>
              </w:rPr>
              <w:t>保管の場所において騒音又は振動が発生する場合にあっては、当該騒音又は振動によって生活環境の保全上支障が生じないように必要な措置を講ずること。</w:t>
            </w:r>
          </w:p>
        </w:tc>
        <w:tc>
          <w:tcPr>
            <w:tcW w:w="1280" w:type="dxa"/>
          </w:tcPr>
          <w:p w:rsidR="000747D4" w:rsidRPr="00FE58CD" w:rsidRDefault="00DF5CEE" w:rsidP="000747D4">
            <w:pPr>
              <w:rPr>
                <w:rFonts w:asciiTheme="minorEastAsia" w:hAnsiTheme="minorEastAsia"/>
                <w:sz w:val="18"/>
                <w:szCs w:val="18"/>
              </w:rPr>
            </w:pPr>
            <w:r>
              <w:rPr>
                <w:rFonts w:asciiTheme="minorEastAsia" w:hAnsiTheme="minorEastAsia" w:hint="eastAsia"/>
                <w:sz w:val="18"/>
                <w:szCs w:val="18"/>
              </w:rPr>
              <w:t>令第16条の３第１号ハ</w:t>
            </w:r>
          </w:p>
        </w:tc>
      </w:tr>
      <w:tr w:rsidR="000747D4" w:rsidRPr="00FE58CD" w:rsidTr="002A7092">
        <w:tc>
          <w:tcPr>
            <w:tcW w:w="1980" w:type="dxa"/>
            <w:gridSpan w:val="2"/>
          </w:tcPr>
          <w:p w:rsidR="000747D4" w:rsidRPr="00FE58CD" w:rsidRDefault="000747D4" w:rsidP="000747D4">
            <w:pPr>
              <w:autoSpaceDE w:val="0"/>
              <w:autoSpaceDN w:val="0"/>
              <w:adjustRightInd w:val="0"/>
              <w:ind w:firstLineChars="100" w:firstLine="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保管の場所における火災の発生又は延焼を防止するため、右記の措置を講ずること。</w:t>
            </w:r>
          </w:p>
        </w:tc>
        <w:tc>
          <w:tcPr>
            <w:tcW w:w="6091" w:type="dxa"/>
          </w:tcPr>
          <w:p w:rsidR="000747D4" w:rsidRPr="00FE58CD" w:rsidRDefault="000747D4" w:rsidP="000747D4">
            <w:pPr>
              <w:autoSpaceDE w:val="0"/>
              <w:autoSpaceDN w:val="0"/>
              <w:adjustRightInd w:val="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【火災の発生又は延焼防止措置】</w:t>
            </w:r>
          </w:p>
          <w:p w:rsidR="000747D4" w:rsidRPr="00FE58CD" w:rsidRDefault="000747D4" w:rsidP="00DF5CEE">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１</w:t>
            </w:r>
            <w:r w:rsidR="00DF5CEE">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有害使用済機器がその他の物と混合するおそれのないように他の物と区分して保管すること。</w:t>
            </w:r>
          </w:p>
          <w:p w:rsidR="000747D4" w:rsidRPr="00FE58CD" w:rsidRDefault="000747D4" w:rsidP="00DF5CEE">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２</w:t>
            </w:r>
            <w:r w:rsidR="00DF5CEE">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有害使用済機器に電池、潤滑油その他の火災の発生又は延焼のおそれがあるものが含まれる場合にあっては、技術的に可能な範囲でこれらを適正に回収し、処理すること。</w:t>
            </w:r>
          </w:p>
          <w:p w:rsidR="000747D4" w:rsidRPr="00FE58CD" w:rsidRDefault="000747D4" w:rsidP="00DF5CEE">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３</w:t>
            </w:r>
            <w:r w:rsidR="00DF5CEE">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有害使用済機器の一の保管の単位の面積を２００ｍ２以下とすること。</w:t>
            </w:r>
          </w:p>
          <w:p w:rsidR="000747D4" w:rsidRPr="00FE58CD" w:rsidRDefault="000747D4" w:rsidP="00DF5CEE">
            <w:pPr>
              <w:autoSpaceDE w:val="0"/>
              <w:autoSpaceDN w:val="0"/>
              <w:adjustRightInd w:val="0"/>
              <w:ind w:left="180" w:hangingChars="100" w:hanging="180"/>
              <w:jc w:val="left"/>
              <w:rPr>
                <w:rFonts w:asciiTheme="minorEastAsia" w:hAnsiTheme="minorEastAsia" w:cs="MS-Mincho"/>
                <w:kern w:val="0"/>
                <w:sz w:val="18"/>
                <w:szCs w:val="18"/>
              </w:rPr>
            </w:pPr>
            <w:r w:rsidRPr="00FE58CD">
              <w:rPr>
                <w:rFonts w:asciiTheme="minorEastAsia" w:hAnsiTheme="minorEastAsia" w:cs="MS-Mincho" w:hint="eastAsia"/>
                <w:kern w:val="0"/>
                <w:sz w:val="18"/>
                <w:szCs w:val="18"/>
              </w:rPr>
              <w:t>４</w:t>
            </w:r>
            <w:r w:rsidR="00DF5CEE">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隣接する有害使用済機器の保管の単位の間隔は、２ｍ以上とすること（当該保管の単位の間に仕切りが設けられている場合を除く。）。</w:t>
            </w:r>
          </w:p>
          <w:p w:rsidR="000747D4" w:rsidRPr="00FE58CD" w:rsidRDefault="000747D4" w:rsidP="00DF5CEE">
            <w:pPr>
              <w:rPr>
                <w:rFonts w:asciiTheme="minorEastAsia" w:hAnsiTheme="minorEastAsia"/>
                <w:sz w:val="18"/>
                <w:szCs w:val="18"/>
              </w:rPr>
            </w:pPr>
            <w:r w:rsidRPr="00FE58CD">
              <w:rPr>
                <w:rFonts w:asciiTheme="minorEastAsia" w:hAnsiTheme="minorEastAsia" w:cs="MS-Mincho" w:hint="eastAsia"/>
                <w:kern w:val="0"/>
                <w:sz w:val="18"/>
                <w:szCs w:val="18"/>
              </w:rPr>
              <w:t>５</w:t>
            </w:r>
            <w:r w:rsidR="00DF5CEE">
              <w:rPr>
                <w:rFonts w:asciiTheme="minorEastAsia" w:hAnsiTheme="minorEastAsia" w:cs="MS-Mincho" w:hint="eastAsia"/>
                <w:kern w:val="0"/>
                <w:sz w:val="18"/>
                <w:szCs w:val="18"/>
              </w:rPr>
              <w:t xml:space="preserve">　</w:t>
            </w:r>
            <w:r w:rsidRPr="00FE58CD">
              <w:rPr>
                <w:rFonts w:asciiTheme="minorEastAsia" w:hAnsiTheme="minorEastAsia" w:cs="MS-Mincho" w:hint="eastAsia"/>
                <w:kern w:val="0"/>
                <w:sz w:val="18"/>
                <w:szCs w:val="18"/>
              </w:rPr>
              <w:t>その他必要な措置</w:t>
            </w:r>
          </w:p>
        </w:tc>
        <w:tc>
          <w:tcPr>
            <w:tcW w:w="1280" w:type="dxa"/>
          </w:tcPr>
          <w:p w:rsidR="00DF5CEE" w:rsidRDefault="00DF5CEE" w:rsidP="00DF5CEE">
            <w:pPr>
              <w:rPr>
                <w:rFonts w:asciiTheme="minorEastAsia" w:hAnsiTheme="minorEastAsia"/>
                <w:sz w:val="18"/>
                <w:szCs w:val="18"/>
              </w:rPr>
            </w:pPr>
            <w:r>
              <w:rPr>
                <w:rFonts w:asciiTheme="minorEastAsia" w:hAnsiTheme="minorEastAsia" w:hint="eastAsia"/>
                <w:sz w:val="18"/>
                <w:szCs w:val="18"/>
              </w:rPr>
              <w:t>令第16条の３第１号ニ</w:t>
            </w:r>
          </w:p>
          <w:p w:rsidR="000747D4" w:rsidRPr="00FE58CD" w:rsidRDefault="00DF5CEE" w:rsidP="000747D4">
            <w:pPr>
              <w:rPr>
                <w:rFonts w:asciiTheme="minorEastAsia" w:hAnsiTheme="minorEastAsia"/>
                <w:sz w:val="18"/>
                <w:szCs w:val="18"/>
              </w:rPr>
            </w:pPr>
            <w:r>
              <w:rPr>
                <w:rFonts w:asciiTheme="minorEastAsia" w:hAnsiTheme="minorEastAsia" w:hint="eastAsia"/>
                <w:sz w:val="18"/>
                <w:szCs w:val="18"/>
              </w:rPr>
              <w:t>規則第13条の８各号</w:t>
            </w:r>
          </w:p>
        </w:tc>
      </w:tr>
      <w:tr w:rsidR="000747D4" w:rsidRPr="00FE58CD" w:rsidTr="000747D4">
        <w:tc>
          <w:tcPr>
            <w:tcW w:w="8071" w:type="dxa"/>
            <w:gridSpan w:val="3"/>
          </w:tcPr>
          <w:p w:rsidR="000747D4" w:rsidRPr="00FE58CD" w:rsidRDefault="000747D4" w:rsidP="000747D4">
            <w:pPr>
              <w:rPr>
                <w:rFonts w:asciiTheme="minorEastAsia" w:hAnsiTheme="minorEastAsia"/>
                <w:sz w:val="18"/>
                <w:szCs w:val="18"/>
              </w:rPr>
            </w:pPr>
            <w:r w:rsidRPr="00FE58CD">
              <w:rPr>
                <w:rFonts w:asciiTheme="minorEastAsia" w:hAnsiTheme="minorEastAsia" w:cs="MS-Mincho" w:hint="eastAsia"/>
                <w:kern w:val="0"/>
                <w:sz w:val="18"/>
                <w:szCs w:val="18"/>
              </w:rPr>
              <w:t>保管の場所には、ねずみが生息し、及び蚊、はえその他の害虫が発生しないようにすること。</w:t>
            </w:r>
          </w:p>
        </w:tc>
        <w:tc>
          <w:tcPr>
            <w:tcW w:w="1280" w:type="dxa"/>
          </w:tcPr>
          <w:p w:rsidR="000747D4" w:rsidRPr="00FE58CD" w:rsidRDefault="00DF5CEE" w:rsidP="000747D4">
            <w:pPr>
              <w:rPr>
                <w:rFonts w:asciiTheme="minorEastAsia" w:hAnsiTheme="minorEastAsia"/>
                <w:sz w:val="18"/>
                <w:szCs w:val="18"/>
              </w:rPr>
            </w:pPr>
            <w:r>
              <w:rPr>
                <w:rFonts w:asciiTheme="minorEastAsia" w:hAnsiTheme="minorEastAsia" w:hint="eastAsia"/>
                <w:sz w:val="18"/>
                <w:szCs w:val="18"/>
              </w:rPr>
              <w:t>令第16条の３第１号ロ(4)</w:t>
            </w:r>
          </w:p>
        </w:tc>
      </w:tr>
    </w:tbl>
    <w:p w:rsidR="00557206" w:rsidRDefault="00557206" w:rsidP="00557206">
      <w:pPr>
        <w:ind w:firstLineChars="100" w:firstLine="180"/>
        <w:rPr>
          <w:rFonts w:asciiTheme="minorEastAsia" w:hAnsiTheme="minorEastAsia"/>
          <w:sz w:val="18"/>
          <w:szCs w:val="18"/>
        </w:rPr>
      </w:pPr>
      <w:r>
        <w:rPr>
          <w:rFonts w:asciiTheme="minorEastAsia" w:hAnsiTheme="minorEastAsia" w:hint="eastAsia"/>
          <w:sz w:val="18"/>
          <w:szCs w:val="18"/>
        </w:rPr>
        <w:t>※令：</w:t>
      </w:r>
      <w:r>
        <w:rPr>
          <w:rFonts w:asciiTheme="minorEastAsia" w:hAnsiTheme="minorEastAsia" w:hint="eastAsia"/>
          <w:sz w:val="18"/>
          <w:szCs w:val="18"/>
        </w:rPr>
        <w:t>廃棄物の処理及び清掃に関する法律施行</w:t>
      </w:r>
      <w:r>
        <w:rPr>
          <w:rFonts w:asciiTheme="minorEastAsia" w:hAnsiTheme="minorEastAsia" w:hint="eastAsia"/>
          <w:sz w:val="18"/>
          <w:szCs w:val="18"/>
        </w:rPr>
        <w:t>令</w:t>
      </w:r>
    </w:p>
    <w:p w:rsidR="005D6CC6" w:rsidRDefault="00557206" w:rsidP="00557206">
      <w:pPr>
        <w:ind w:firstLineChars="200" w:firstLine="360"/>
        <w:rPr>
          <w:rFonts w:asciiTheme="minorEastAsia" w:hAnsiTheme="minorEastAsia"/>
          <w:sz w:val="18"/>
          <w:szCs w:val="18"/>
        </w:rPr>
      </w:pPr>
      <w:r>
        <w:rPr>
          <w:rFonts w:asciiTheme="minorEastAsia" w:hAnsiTheme="minorEastAsia" w:hint="eastAsia"/>
          <w:sz w:val="18"/>
          <w:szCs w:val="18"/>
        </w:rPr>
        <w:t>規則：廃棄物の処理及び清掃に関する法律施行規則</w:t>
      </w:r>
    </w:p>
    <w:p w:rsidR="002A7092" w:rsidRDefault="002A7092">
      <w:pPr>
        <w:rPr>
          <w:rFonts w:asciiTheme="minorEastAsia" w:hAnsiTheme="minorEastAsia"/>
          <w:sz w:val="18"/>
          <w:szCs w:val="18"/>
        </w:rPr>
      </w:pPr>
    </w:p>
    <w:tbl>
      <w:tblPr>
        <w:tblStyle w:val="a3"/>
        <w:tblW w:w="0" w:type="auto"/>
        <w:tblLook w:val="04A0" w:firstRow="1" w:lastRow="0" w:firstColumn="1" w:lastColumn="0" w:noHBand="0" w:noVBand="1"/>
      </w:tblPr>
      <w:tblGrid>
        <w:gridCol w:w="4299"/>
        <w:gridCol w:w="5045"/>
      </w:tblGrid>
      <w:tr w:rsidR="002A7092" w:rsidTr="002A7092">
        <w:tc>
          <w:tcPr>
            <w:tcW w:w="4673" w:type="dxa"/>
          </w:tcPr>
          <w:p w:rsidR="002A7092" w:rsidRPr="0062587D" w:rsidRDefault="0062587D">
            <w:pPr>
              <w:rPr>
                <w:rFonts w:asciiTheme="minorEastAsia" w:hAnsiTheme="minorEastAsia" w:hint="eastAsia"/>
                <w:sz w:val="18"/>
                <w:szCs w:val="18"/>
              </w:rPr>
            </w:pPr>
            <w:r>
              <w:rPr>
                <w:rFonts w:asciiTheme="minorEastAsia" w:hAnsiTheme="minorEastAsia" w:hint="eastAsia"/>
                <w:sz w:val="18"/>
                <w:szCs w:val="18"/>
              </w:rPr>
              <w:lastRenderedPageBreak/>
              <w:t>図１　直接不可部分がない場合</w:t>
            </w:r>
          </w:p>
        </w:tc>
        <w:tc>
          <w:tcPr>
            <w:tcW w:w="4671" w:type="dxa"/>
          </w:tcPr>
          <w:p w:rsidR="002A7092" w:rsidRDefault="0062587D">
            <w:pPr>
              <w:rPr>
                <w:rFonts w:asciiTheme="minorEastAsia" w:hAnsiTheme="minorEastAsia"/>
                <w:sz w:val="18"/>
                <w:szCs w:val="18"/>
              </w:rPr>
            </w:pPr>
            <w:r>
              <w:rPr>
                <w:rFonts w:asciiTheme="minorEastAsia" w:hAnsiTheme="minorEastAsia" w:hint="eastAsia"/>
                <w:sz w:val="18"/>
                <w:szCs w:val="18"/>
              </w:rPr>
              <w:t>図２　保管の</w:t>
            </w:r>
            <w:r>
              <w:rPr>
                <w:rFonts w:asciiTheme="minorEastAsia" w:hAnsiTheme="minorEastAsia" w:hint="eastAsia"/>
                <w:sz w:val="18"/>
                <w:szCs w:val="18"/>
              </w:rPr>
              <w:t>場所の囲いに直接負荷部分がある場合</w:t>
            </w:r>
          </w:p>
        </w:tc>
      </w:tr>
      <w:tr w:rsidR="002A7092" w:rsidTr="002E5DFC">
        <w:trPr>
          <w:trHeight w:val="3022"/>
        </w:trPr>
        <w:tc>
          <w:tcPr>
            <w:tcW w:w="4673" w:type="dxa"/>
          </w:tcPr>
          <w:p w:rsidR="002A7092" w:rsidRDefault="0062587D">
            <w:pPr>
              <w:rPr>
                <w:rFonts w:asciiTheme="minorEastAsia" w:hAnsiTheme="minorEastAsia"/>
                <w:sz w:val="18"/>
                <w:szCs w:val="18"/>
              </w:rPr>
            </w:pPr>
            <w:r w:rsidRPr="0051147A">
              <w:rPr>
                <w:noProof/>
                <w:color w:val="000000"/>
                <w:kern w:val="0"/>
                <w:szCs w:val="21"/>
              </w:rPr>
              <w:drawing>
                <wp:inline distT="0" distB="0" distL="0" distR="0" wp14:anchorId="23C8611A" wp14:editId="5941D8B1">
                  <wp:extent cx="2602107" cy="171450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385" cy="1723248"/>
                          </a:xfrm>
                          <a:prstGeom prst="rect">
                            <a:avLst/>
                          </a:prstGeom>
                          <a:noFill/>
                          <a:ln>
                            <a:noFill/>
                          </a:ln>
                        </pic:spPr>
                      </pic:pic>
                    </a:graphicData>
                  </a:graphic>
                </wp:inline>
              </w:drawing>
            </w:r>
          </w:p>
        </w:tc>
        <w:tc>
          <w:tcPr>
            <w:tcW w:w="4671" w:type="dxa"/>
          </w:tcPr>
          <w:p w:rsidR="0062587D" w:rsidRDefault="0062587D" w:rsidP="002A7092">
            <w:pPr>
              <w:rPr>
                <w:rFonts w:asciiTheme="minorEastAsia" w:hAnsiTheme="minorEastAsia" w:hint="eastAsia"/>
                <w:sz w:val="18"/>
                <w:szCs w:val="18"/>
              </w:rPr>
            </w:pPr>
            <w:r w:rsidRPr="0051147A">
              <w:rPr>
                <w:noProof/>
                <w:color w:val="000000"/>
                <w:kern w:val="0"/>
                <w:szCs w:val="21"/>
              </w:rPr>
              <w:drawing>
                <wp:inline distT="0" distB="0" distL="0" distR="0" wp14:anchorId="44E50906" wp14:editId="2197FC08">
                  <wp:extent cx="3081297" cy="164782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0466" cy="1652728"/>
                          </a:xfrm>
                          <a:prstGeom prst="rect">
                            <a:avLst/>
                          </a:prstGeom>
                          <a:noFill/>
                          <a:ln>
                            <a:noFill/>
                          </a:ln>
                        </pic:spPr>
                      </pic:pic>
                    </a:graphicData>
                  </a:graphic>
                </wp:inline>
              </w:drawing>
            </w:r>
          </w:p>
        </w:tc>
        <w:bookmarkStart w:id="0" w:name="_GoBack"/>
        <w:bookmarkEnd w:id="0"/>
      </w:tr>
      <w:tr w:rsidR="002A7092" w:rsidTr="00C517D9">
        <w:tc>
          <w:tcPr>
            <w:tcW w:w="9344" w:type="dxa"/>
            <w:gridSpan w:val="2"/>
          </w:tcPr>
          <w:p w:rsidR="002A7092" w:rsidRPr="0062587D" w:rsidRDefault="0062587D">
            <w:pPr>
              <w:rPr>
                <w:rFonts w:asciiTheme="minorEastAsia" w:hAnsiTheme="minorEastAsia" w:hint="eastAsia"/>
                <w:sz w:val="18"/>
                <w:szCs w:val="18"/>
              </w:rPr>
            </w:pPr>
            <w:r>
              <w:rPr>
                <w:rFonts w:asciiTheme="minorEastAsia" w:hAnsiTheme="minorEastAsia" w:hint="eastAsia"/>
                <w:sz w:val="18"/>
                <w:szCs w:val="18"/>
              </w:rPr>
              <w:t>図３　保管の場所の三方の囲いに直接負荷部分がある場合</w:t>
            </w:r>
          </w:p>
        </w:tc>
      </w:tr>
      <w:tr w:rsidR="002A7092" w:rsidTr="00732E6E">
        <w:tc>
          <w:tcPr>
            <w:tcW w:w="9344" w:type="dxa"/>
            <w:gridSpan w:val="2"/>
          </w:tcPr>
          <w:p w:rsidR="0062587D" w:rsidRDefault="0062587D" w:rsidP="002A7092">
            <w:pPr>
              <w:rPr>
                <w:rFonts w:asciiTheme="minorEastAsia" w:hAnsiTheme="minorEastAsia" w:hint="eastAsia"/>
                <w:sz w:val="18"/>
                <w:szCs w:val="18"/>
              </w:rPr>
            </w:pPr>
            <w:r w:rsidRPr="0051147A">
              <w:rPr>
                <w:noProof/>
                <w:color w:val="000000"/>
                <w:kern w:val="0"/>
                <w:szCs w:val="21"/>
              </w:rPr>
              <w:drawing>
                <wp:inline distT="0" distB="0" distL="0" distR="0" wp14:anchorId="593EE9DC" wp14:editId="5D9E8333">
                  <wp:extent cx="5766406" cy="194310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0573" cy="1961352"/>
                          </a:xfrm>
                          <a:prstGeom prst="rect">
                            <a:avLst/>
                          </a:prstGeom>
                          <a:noFill/>
                          <a:ln>
                            <a:noFill/>
                          </a:ln>
                        </pic:spPr>
                      </pic:pic>
                    </a:graphicData>
                  </a:graphic>
                </wp:inline>
              </w:drawing>
            </w:r>
          </w:p>
        </w:tc>
      </w:tr>
    </w:tbl>
    <w:p w:rsidR="002A7092" w:rsidRDefault="002A7092">
      <w:pPr>
        <w:rPr>
          <w:rFonts w:asciiTheme="minorEastAsia" w:hAnsiTheme="minorEastAsia"/>
          <w:sz w:val="18"/>
          <w:szCs w:val="18"/>
        </w:rPr>
      </w:pPr>
      <w:r>
        <w:rPr>
          <w:rFonts w:asciiTheme="minorEastAsia" w:hAnsiTheme="minorEastAsia" w:hint="eastAsia"/>
          <w:sz w:val="18"/>
          <w:szCs w:val="18"/>
        </w:rPr>
        <w:t xml:space="preserve">　</w:t>
      </w:r>
    </w:p>
    <w:p w:rsidR="002A7092" w:rsidRDefault="002A7092">
      <w:pPr>
        <w:rPr>
          <w:rFonts w:asciiTheme="minorEastAsia" w:hAnsiTheme="minorEastAsia"/>
          <w:sz w:val="18"/>
          <w:szCs w:val="18"/>
        </w:rPr>
      </w:pPr>
    </w:p>
    <w:p w:rsidR="002A7092" w:rsidRDefault="002A7092">
      <w:pPr>
        <w:rPr>
          <w:rFonts w:asciiTheme="minorEastAsia" w:hAnsiTheme="minorEastAsia"/>
          <w:sz w:val="18"/>
          <w:szCs w:val="18"/>
        </w:rPr>
      </w:pPr>
    </w:p>
    <w:p w:rsidR="002A7092" w:rsidRDefault="002A7092">
      <w:pPr>
        <w:rPr>
          <w:rFonts w:asciiTheme="minorEastAsia" w:hAnsiTheme="minorEastAsia"/>
          <w:sz w:val="18"/>
          <w:szCs w:val="18"/>
        </w:rPr>
      </w:pPr>
    </w:p>
    <w:p w:rsidR="002A7092" w:rsidRDefault="002A7092">
      <w:pPr>
        <w:rPr>
          <w:rFonts w:asciiTheme="minorEastAsia" w:hAnsiTheme="minorEastAsia"/>
          <w:sz w:val="18"/>
          <w:szCs w:val="18"/>
        </w:rPr>
      </w:pPr>
    </w:p>
    <w:p w:rsidR="002A7092" w:rsidRDefault="002A7092">
      <w:pPr>
        <w:rPr>
          <w:rFonts w:asciiTheme="minorEastAsia" w:hAnsiTheme="minorEastAsia"/>
          <w:sz w:val="18"/>
          <w:szCs w:val="18"/>
        </w:rPr>
      </w:pPr>
    </w:p>
    <w:p w:rsidR="002A7092" w:rsidRDefault="002A7092">
      <w:pPr>
        <w:rPr>
          <w:rFonts w:asciiTheme="minorEastAsia" w:hAnsiTheme="minorEastAsia"/>
          <w:sz w:val="18"/>
          <w:szCs w:val="18"/>
        </w:rPr>
      </w:pPr>
    </w:p>
    <w:p w:rsidR="002A7092" w:rsidRPr="00F41248" w:rsidRDefault="002A7092">
      <w:pPr>
        <w:rPr>
          <w:rFonts w:asciiTheme="minorEastAsia" w:hAnsiTheme="minorEastAsia"/>
          <w:sz w:val="18"/>
          <w:szCs w:val="18"/>
        </w:rPr>
      </w:pPr>
    </w:p>
    <w:sectPr w:rsidR="002A7092" w:rsidRPr="00F41248" w:rsidSect="00B604E6">
      <w:pgSz w:w="11906" w:h="16838" w:code="9"/>
      <w:pgMar w:top="1985" w:right="1134" w:bottom="1701"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7D" w:rsidRDefault="00690C7D" w:rsidP="00557206">
      <w:r>
        <w:separator/>
      </w:r>
    </w:p>
  </w:endnote>
  <w:endnote w:type="continuationSeparator" w:id="0">
    <w:p w:rsidR="00690C7D" w:rsidRDefault="00690C7D" w:rsidP="0055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7D" w:rsidRDefault="00690C7D" w:rsidP="00557206">
      <w:r>
        <w:separator/>
      </w:r>
    </w:p>
  </w:footnote>
  <w:footnote w:type="continuationSeparator" w:id="0">
    <w:p w:rsidR="00690C7D" w:rsidRDefault="00690C7D" w:rsidP="0055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C6"/>
    <w:rsid w:val="000747D4"/>
    <w:rsid w:val="00082850"/>
    <w:rsid w:val="001E095D"/>
    <w:rsid w:val="002A7092"/>
    <w:rsid w:val="002E5DFC"/>
    <w:rsid w:val="00386881"/>
    <w:rsid w:val="004D5A3C"/>
    <w:rsid w:val="00557206"/>
    <w:rsid w:val="005D6CC6"/>
    <w:rsid w:val="0062587D"/>
    <w:rsid w:val="00690C7D"/>
    <w:rsid w:val="00715B96"/>
    <w:rsid w:val="009A2A9F"/>
    <w:rsid w:val="00B604E6"/>
    <w:rsid w:val="00BD7FDA"/>
    <w:rsid w:val="00DF5CEE"/>
    <w:rsid w:val="00F41248"/>
    <w:rsid w:val="00FE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DEF9A0-8DEA-4A20-8B7D-1D4436B9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7206"/>
    <w:pPr>
      <w:tabs>
        <w:tab w:val="center" w:pos="4252"/>
        <w:tab w:val="right" w:pos="8504"/>
      </w:tabs>
      <w:snapToGrid w:val="0"/>
    </w:pPr>
  </w:style>
  <w:style w:type="character" w:customStyle="1" w:styleId="a5">
    <w:name w:val="ヘッダー (文字)"/>
    <w:basedOn w:val="a0"/>
    <w:link w:val="a4"/>
    <w:uiPriority w:val="99"/>
    <w:rsid w:val="00557206"/>
  </w:style>
  <w:style w:type="paragraph" w:styleId="a6">
    <w:name w:val="footer"/>
    <w:basedOn w:val="a"/>
    <w:link w:val="a7"/>
    <w:uiPriority w:val="99"/>
    <w:unhideWhenUsed/>
    <w:rsid w:val="00557206"/>
    <w:pPr>
      <w:tabs>
        <w:tab w:val="center" w:pos="4252"/>
        <w:tab w:val="right" w:pos="8504"/>
      </w:tabs>
      <w:snapToGrid w:val="0"/>
    </w:pPr>
  </w:style>
  <w:style w:type="character" w:customStyle="1" w:styleId="a7">
    <w:name w:val="フッター (文字)"/>
    <w:basedOn w:val="a0"/>
    <w:link w:val="a6"/>
    <w:uiPriority w:val="99"/>
    <w:rsid w:val="0055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kankyotaisak105</dc:creator>
  <cp:keywords/>
  <dc:description/>
  <cp:lastModifiedBy>kankyotaisak105</cp:lastModifiedBy>
  <cp:revision>10</cp:revision>
  <cp:lastPrinted>2019-10-18T01:00:00Z</cp:lastPrinted>
  <dcterms:created xsi:type="dcterms:W3CDTF">2019-05-16T01:29:00Z</dcterms:created>
  <dcterms:modified xsi:type="dcterms:W3CDTF">2019-10-18T03:08:00Z</dcterms:modified>
</cp:coreProperties>
</file>