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旭川市長　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spacing w:after="93" w:afterLines="0" w:afterAutospacing="0" w:line="245" w:lineRule="auto"/>
        <w:ind w:right="232" w:rightChars="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　　　　　　</w:t>
      </w:r>
      <w:r>
        <w:rPr>
          <w:rFonts w:hint="eastAsia" w:ascii="ＭＳ 明朝" w:hAnsi="ＭＳ 明朝" w:eastAsia="ＭＳ 明朝"/>
          <w:color w:val="000000"/>
          <w:sz w:val="22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eastAsia" w:ascii="ＭＳ 明朝" w:hAnsi="ＭＳ 明朝" w:eastAsia="ＭＳ 明朝"/>
          <w:color w:val="000000"/>
          <w:sz w:val="24"/>
        </w:rPr>
        <w:t>　　　　　　　　　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709" w:type="dxa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178</Characters>
  <Application>JUST Note</Application>
  <Lines>77</Lines>
  <Paragraphs>22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kigyoritchi163</cp:lastModifiedBy>
  <cp:lastPrinted>2018-03-29T06:16:00Z</cp:lastPrinted>
  <dcterms:created xsi:type="dcterms:W3CDTF">2019-05-13T04:52:00Z</dcterms:created>
  <dcterms:modified xsi:type="dcterms:W3CDTF">2021-05-12T00:40:56Z</dcterms:modified>
  <cp:revision>11</cp:revision>
</cp:coreProperties>
</file>